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1"/>
        </w:rPr>
      </w:pPr>
    </w:p>
    <w:p>
      <w:pPr>
        <w:pStyle w:val="Title"/>
        <w:spacing w:line="702" w:lineRule="exact"/>
        <w:ind w:right="22"/>
      </w:pPr>
      <w:r>
        <w:rPr/>
        <w:t>山东鑫亚工业股份有限公司</w:t>
      </w:r>
    </w:p>
    <w:p>
      <w:pPr>
        <w:pStyle w:val="Title"/>
        <w:spacing w:before="333"/>
      </w:pPr>
      <w:r>
        <w:rPr>
          <w:rFonts w:ascii="Times New Roman" w:eastAsia="Times New Roman"/>
        </w:rPr>
        <w:t>2021 </w:t>
      </w:r>
      <w:r>
        <w:rPr/>
        <w:t>年度温室气体排放核查报告</w:t>
      </w:r>
    </w:p>
    <w:p>
      <w:pPr>
        <w:pStyle w:val="BodyText"/>
        <w:rPr>
          <w:rFonts w:ascii="Microsoft JhengHei"/>
          <w:b/>
          <w:sz w:val="48"/>
        </w:rPr>
      </w:pPr>
    </w:p>
    <w:p>
      <w:pPr>
        <w:pStyle w:val="BodyText"/>
        <w:rPr>
          <w:rFonts w:ascii="Microsoft JhengHei"/>
          <w:b/>
          <w:sz w:val="48"/>
        </w:rPr>
      </w:pPr>
    </w:p>
    <w:p>
      <w:pPr>
        <w:pStyle w:val="BodyText"/>
        <w:rPr>
          <w:rFonts w:ascii="Microsoft JhengHei"/>
          <w:b/>
          <w:sz w:val="48"/>
        </w:rPr>
      </w:pPr>
    </w:p>
    <w:p>
      <w:pPr>
        <w:pStyle w:val="BodyText"/>
        <w:spacing w:before="3"/>
        <w:rPr>
          <w:rFonts w:ascii="Microsoft JhengHei"/>
          <w:b/>
          <w:sz w:val="71"/>
        </w:rPr>
      </w:pPr>
    </w:p>
    <w:p>
      <w:pPr>
        <w:tabs>
          <w:tab w:pos="4612" w:val="left" w:leader="none"/>
          <w:tab w:pos="4915" w:val="left" w:leader="none"/>
          <w:tab w:pos="5755" w:val="left" w:leader="none"/>
          <w:tab w:pos="6316" w:val="left" w:leader="none"/>
          <w:tab w:pos="6876" w:val="left" w:leader="none"/>
          <w:tab w:pos="7437" w:val="left" w:leader="none"/>
          <w:tab w:pos="7996" w:val="left" w:leader="none"/>
          <w:tab w:pos="8534" w:val="left" w:leader="none"/>
          <w:tab w:pos="8697" w:val="left" w:leader="none"/>
        </w:tabs>
        <w:spacing w:line="254" w:lineRule="auto" w:before="0"/>
        <w:ind w:left="1108" w:right="706" w:hanging="8"/>
        <w:jc w:val="left"/>
        <w:rPr>
          <w:sz w:val="28"/>
        </w:rPr>
      </w:pPr>
      <w:r>
        <w:rPr/>
        <w:drawing>
          <wp:anchor distT="0" distB="0" distL="0" distR="0" allowOverlap="1" layoutInCell="1" locked="0" behindDoc="1" simplePos="0" relativeHeight="487217664">
            <wp:simplePos x="0" y="0"/>
            <wp:positionH relativeFrom="page">
              <wp:posOffset>3990293</wp:posOffset>
            </wp:positionH>
            <wp:positionV relativeFrom="paragraph">
              <wp:posOffset>-439455</wp:posOffset>
            </wp:positionV>
            <wp:extent cx="1795021" cy="177383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795021" cy="1773838"/>
                    </a:xfrm>
                    <a:prstGeom prst="rect">
                      <a:avLst/>
                    </a:prstGeom>
                  </pic:spPr>
                </pic:pic>
              </a:graphicData>
            </a:graphic>
          </wp:anchor>
        </w:drawing>
      </w:r>
      <w:r>
        <w:rPr>
          <w:rFonts w:ascii="Microsoft JhengHei" w:eastAsia="Microsoft JhengHei" w:hint="eastAsia"/>
          <w:b/>
          <w:sz w:val="28"/>
        </w:rPr>
        <w:t>核查机构名称（公章）：</w:t>
      </w:r>
      <w:r>
        <w:rPr>
          <w:rFonts w:ascii="Microsoft JhengHei" w:eastAsia="Microsoft JhengHei" w:hint="eastAsia"/>
          <w:b/>
          <w:sz w:val="28"/>
          <w:u w:val="single"/>
        </w:rPr>
        <w:t> </w:t>
        <w:tab/>
      </w:r>
      <w:r>
        <w:rPr>
          <w:sz w:val="28"/>
          <w:u w:val="single"/>
        </w:rPr>
        <w:t>山东零</w:t>
      </w:r>
      <w:r>
        <w:rPr>
          <w:spacing w:val="-3"/>
          <w:sz w:val="28"/>
          <w:u w:val="single"/>
        </w:rPr>
        <w:t>碳</w:t>
      </w:r>
      <w:r>
        <w:rPr>
          <w:sz w:val="28"/>
          <w:u w:val="single"/>
        </w:rPr>
        <w:t>环境技</w:t>
      </w:r>
      <w:r>
        <w:rPr>
          <w:spacing w:val="-3"/>
          <w:sz w:val="28"/>
          <w:u w:val="single"/>
        </w:rPr>
        <w:t>术</w:t>
      </w:r>
      <w:r>
        <w:rPr>
          <w:sz w:val="28"/>
          <w:u w:val="single"/>
        </w:rPr>
        <w:t>有限</w:t>
      </w:r>
      <w:r>
        <w:rPr>
          <w:spacing w:val="-3"/>
          <w:sz w:val="28"/>
          <w:u w:val="single"/>
        </w:rPr>
        <w:t>公</w:t>
      </w:r>
      <w:r>
        <w:rPr>
          <w:sz w:val="28"/>
          <w:u w:val="single"/>
        </w:rPr>
        <w:t>司</w:t>
        <w:tab/>
        <w:tab/>
        <w:t>     </w:t>
      </w:r>
      <w:r>
        <w:rPr>
          <w:rFonts w:ascii="Microsoft JhengHei" w:eastAsia="Microsoft JhengHei" w:hint="eastAsia"/>
          <w:b/>
          <w:sz w:val="28"/>
        </w:rPr>
        <w:t>核 查 报 告 签 发 日</w:t>
      </w:r>
      <w:r>
        <w:rPr>
          <w:rFonts w:ascii="Microsoft JhengHei" w:eastAsia="Microsoft JhengHei" w:hint="eastAsia"/>
          <w:b/>
          <w:spacing w:val="11"/>
          <w:sz w:val="28"/>
        </w:rPr>
        <w:t> </w:t>
      </w:r>
      <w:r>
        <w:rPr>
          <w:rFonts w:ascii="Microsoft JhengHei" w:eastAsia="Microsoft JhengHei" w:hint="eastAsia"/>
          <w:b/>
          <w:sz w:val="28"/>
        </w:rPr>
        <w:t>期</w:t>
      </w:r>
      <w:r>
        <w:rPr>
          <w:rFonts w:ascii="Microsoft JhengHei" w:eastAsia="Microsoft JhengHei" w:hint="eastAsia"/>
          <w:b/>
          <w:spacing w:val="4"/>
          <w:sz w:val="28"/>
        </w:rPr>
        <w:t> ：</w:t>
      </w:r>
      <w:r>
        <w:rPr>
          <w:rFonts w:ascii="Microsoft JhengHei" w:eastAsia="Microsoft JhengHei" w:hint="eastAsia"/>
          <w:b/>
          <w:spacing w:val="4"/>
          <w:sz w:val="28"/>
          <w:u w:val="single"/>
        </w:rPr>
        <w:t> </w:t>
        <w:tab/>
        <w:tab/>
      </w:r>
      <w:r>
        <w:rPr>
          <w:rFonts w:ascii="Times New Roman" w:eastAsia="Times New Roman"/>
          <w:sz w:val="28"/>
          <w:u w:val="single"/>
        </w:rPr>
        <w:t>2022</w:t>
        <w:tab/>
      </w:r>
      <w:r>
        <w:rPr>
          <w:sz w:val="28"/>
          <w:u w:val="single"/>
        </w:rPr>
        <w:t>年</w:t>
        <w:tab/>
      </w:r>
      <w:r>
        <w:rPr>
          <w:rFonts w:ascii="Times New Roman" w:eastAsia="Times New Roman"/>
          <w:sz w:val="28"/>
          <w:u w:val="single"/>
        </w:rPr>
        <w:t>03</w:t>
        <w:tab/>
      </w:r>
      <w:r>
        <w:rPr>
          <w:sz w:val="28"/>
          <w:u w:val="single"/>
        </w:rPr>
        <w:t>月</w:t>
        <w:tab/>
      </w:r>
      <w:r>
        <w:rPr>
          <w:rFonts w:ascii="Times New Roman" w:eastAsia="Times New Roman"/>
          <w:sz w:val="28"/>
          <w:u w:val="single"/>
        </w:rPr>
        <w:t>25</w:t>
        <w:tab/>
      </w:r>
      <w:r>
        <w:rPr>
          <w:sz w:val="28"/>
          <w:u w:val="single"/>
        </w:rPr>
        <w:t>日</w:t>
        <w:tab/>
        <w:tab/>
      </w:r>
    </w:p>
    <w:p>
      <w:pPr>
        <w:spacing w:after="0" w:line="254" w:lineRule="auto"/>
        <w:jc w:val="left"/>
        <w:rPr>
          <w:sz w:val="28"/>
        </w:rPr>
        <w:sectPr>
          <w:type w:val="continuous"/>
          <w:pgSz w:w="11910" w:h="16840"/>
          <w:pgMar w:top="1580" w:bottom="280" w:left="1260" w:right="1240"/>
        </w:sectPr>
      </w:pPr>
    </w:p>
    <w:p>
      <w:pPr>
        <w:spacing w:line="524" w:lineRule="exact" w:before="0"/>
        <w:ind w:left="0" w:right="17" w:firstLine="0"/>
        <w:jc w:val="center"/>
        <w:rPr>
          <w:rFonts w:ascii="Microsoft JhengHei" w:eastAsia="Microsoft JhengHei" w:hint="eastAsia"/>
          <w:b/>
          <w:sz w:val="32"/>
        </w:rPr>
      </w:pPr>
      <w:r>
        <w:rPr/>
        <w:pict>
          <v:shapetype id="_x0000_t202" o:spt="202" coordsize="21600,21600" path="m,l,21600r21600,l21600,xe">
            <v:stroke joinstyle="miter"/>
            <v:path gradientshapeok="t" o:connecttype="rect"/>
          </v:shapetype>
          <v:shape style="position:absolute;margin-left:73.680pt;margin-top:408.238983pt;width:448.2pt;height:93.4pt;mso-position-horizontal-relative:page;mso-position-vertical-relative:page;z-index:15729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38"/>
                    <w:gridCol w:w="2911"/>
                  </w:tblGrid>
                  <w:tr>
                    <w:trPr>
                      <w:trHeight w:val="455" w:hRule="atLeast"/>
                    </w:trPr>
                    <w:tc>
                      <w:tcPr>
                        <w:tcW w:w="6038" w:type="dxa"/>
                      </w:tcPr>
                      <w:p>
                        <w:pPr>
                          <w:pStyle w:val="TableParagraph"/>
                          <w:spacing w:before="72"/>
                          <w:ind w:left="1144" w:right="1134"/>
                          <w:jc w:val="center"/>
                          <w:rPr>
                            <w:b/>
                            <w:sz w:val="24"/>
                          </w:rPr>
                        </w:pPr>
                        <w:r>
                          <w:rPr>
                            <w:b/>
                            <w:sz w:val="24"/>
                          </w:rPr>
                          <w:t>年份</w:t>
                        </w:r>
                      </w:p>
                    </w:tc>
                    <w:tc>
                      <w:tcPr>
                        <w:tcW w:w="2911" w:type="dxa"/>
                      </w:tcPr>
                      <w:p>
                        <w:pPr>
                          <w:pStyle w:val="TableParagraph"/>
                          <w:spacing w:before="72"/>
                          <w:ind w:left="1040" w:right="1035"/>
                          <w:jc w:val="center"/>
                          <w:rPr>
                            <w:b/>
                            <w:sz w:val="24"/>
                          </w:rPr>
                        </w:pPr>
                        <w:r>
                          <w:rPr>
                            <w:rFonts w:ascii="Times New Roman" w:eastAsia="Times New Roman"/>
                            <w:b/>
                            <w:sz w:val="24"/>
                          </w:rPr>
                          <w:t>2021 </w:t>
                        </w:r>
                        <w:r>
                          <w:rPr>
                            <w:b/>
                            <w:sz w:val="24"/>
                          </w:rPr>
                          <w:t>年</w:t>
                        </w:r>
                      </w:p>
                    </w:tc>
                  </w:tr>
                  <w:tr>
                    <w:trPr>
                      <w:trHeight w:val="453" w:hRule="atLeast"/>
                    </w:trPr>
                    <w:tc>
                      <w:tcPr>
                        <w:tcW w:w="6038" w:type="dxa"/>
                      </w:tcPr>
                      <w:p>
                        <w:pPr>
                          <w:pStyle w:val="TableParagraph"/>
                          <w:spacing w:before="71"/>
                          <w:ind w:left="1146" w:right="1134"/>
                          <w:jc w:val="center"/>
                          <w:rPr>
                            <w:sz w:val="24"/>
                          </w:rPr>
                        </w:pPr>
                        <w:r>
                          <w:rPr>
                            <w:sz w:val="24"/>
                          </w:rPr>
                          <w:t>化石燃料燃烧排放量（</w:t>
                        </w:r>
                        <w:r>
                          <w:rPr>
                            <w:rFonts w:ascii="Times New Roman" w:eastAsia="Times New Roman"/>
                            <w:sz w:val="24"/>
                          </w:rPr>
                          <w:t>tCO</w:t>
                        </w:r>
                        <w:r>
                          <w:rPr>
                            <w:rFonts w:ascii="Times New Roman" w:eastAsia="Times New Roman"/>
                            <w:sz w:val="24"/>
                            <w:vertAlign w:val="subscript"/>
                          </w:rPr>
                          <w:t>2</w:t>
                        </w:r>
                        <w:r>
                          <w:rPr>
                            <w:rFonts w:ascii="Times New Roman" w:eastAsia="Times New Roman"/>
                            <w:sz w:val="24"/>
                            <w:vertAlign w:val="baseline"/>
                          </w:rPr>
                          <w:t>e</w:t>
                        </w:r>
                        <w:r>
                          <w:rPr>
                            <w:sz w:val="24"/>
                            <w:vertAlign w:val="baseline"/>
                          </w:rPr>
                          <w:t>）</w:t>
                        </w:r>
                      </w:p>
                    </w:tc>
                    <w:tc>
                      <w:tcPr>
                        <w:tcW w:w="2911" w:type="dxa"/>
                      </w:tcPr>
                      <w:p>
                        <w:pPr>
                          <w:pStyle w:val="TableParagraph"/>
                          <w:spacing w:before="80"/>
                          <w:ind w:left="1042" w:right="1032"/>
                          <w:jc w:val="center"/>
                          <w:rPr>
                            <w:rFonts w:ascii="Times New Roman"/>
                            <w:sz w:val="24"/>
                          </w:rPr>
                        </w:pPr>
                        <w:r>
                          <w:rPr>
                            <w:rFonts w:ascii="Times New Roman"/>
                            <w:sz w:val="24"/>
                          </w:rPr>
                          <w:t>253.39</w:t>
                        </w:r>
                      </w:p>
                    </w:tc>
                  </w:tr>
                  <w:tr>
                    <w:trPr>
                      <w:trHeight w:val="453" w:hRule="atLeast"/>
                    </w:trPr>
                    <w:tc>
                      <w:tcPr>
                        <w:tcW w:w="6038" w:type="dxa"/>
                      </w:tcPr>
                      <w:p>
                        <w:pPr>
                          <w:pStyle w:val="TableParagraph"/>
                          <w:spacing w:before="72"/>
                          <w:ind w:left="1146" w:right="1134"/>
                          <w:jc w:val="center"/>
                          <w:rPr>
                            <w:sz w:val="24"/>
                          </w:rPr>
                        </w:pPr>
                        <w:r>
                          <w:rPr>
                            <w:sz w:val="24"/>
                          </w:rPr>
                          <w:t>净购入使用的电力排放量（</w:t>
                        </w:r>
                        <w:r>
                          <w:rPr>
                            <w:rFonts w:ascii="Times New Roman" w:eastAsia="Times New Roman"/>
                            <w:sz w:val="24"/>
                          </w:rPr>
                          <w:t>tCO</w:t>
                        </w:r>
                        <w:r>
                          <w:rPr>
                            <w:rFonts w:ascii="Times New Roman" w:eastAsia="Times New Roman"/>
                            <w:sz w:val="24"/>
                            <w:vertAlign w:val="subscript"/>
                          </w:rPr>
                          <w:t>2</w:t>
                        </w:r>
                        <w:r>
                          <w:rPr>
                            <w:rFonts w:ascii="Times New Roman" w:eastAsia="Times New Roman"/>
                            <w:sz w:val="24"/>
                            <w:vertAlign w:val="baseline"/>
                          </w:rPr>
                          <w:t>e</w:t>
                        </w:r>
                        <w:r>
                          <w:rPr>
                            <w:sz w:val="24"/>
                            <w:vertAlign w:val="baseline"/>
                          </w:rPr>
                          <w:t>）</w:t>
                        </w:r>
                      </w:p>
                    </w:tc>
                    <w:tc>
                      <w:tcPr>
                        <w:tcW w:w="2911" w:type="dxa"/>
                      </w:tcPr>
                      <w:p>
                        <w:pPr>
                          <w:pStyle w:val="TableParagraph"/>
                          <w:spacing w:before="80"/>
                          <w:ind w:left="1042" w:right="1032"/>
                          <w:jc w:val="center"/>
                          <w:rPr>
                            <w:rFonts w:ascii="Times New Roman"/>
                            <w:sz w:val="24"/>
                          </w:rPr>
                        </w:pPr>
                        <w:r>
                          <w:rPr>
                            <w:rFonts w:ascii="Times New Roman"/>
                            <w:sz w:val="24"/>
                          </w:rPr>
                          <w:t>6872.34</w:t>
                        </w:r>
                      </w:p>
                    </w:tc>
                  </w:tr>
                  <w:tr>
                    <w:trPr>
                      <w:trHeight w:val="455" w:hRule="atLeast"/>
                    </w:trPr>
                    <w:tc>
                      <w:tcPr>
                        <w:tcW w:w="6038" w:type="dxa"/>
                      </w:tcPr>
                      <w:p>
                        <w:pPr>
                          <w:pStyle w:val="TableParagraph"/>
                          <w:spacing w:before="72"/>
                          <w:ind w:left="1146" w:right="1134"/>
                          <w:jc w:val="center"/>
                          <w:rPr>
                            <w:sz w:val="24"/>
                          </w:rPr>
                        </w:pPr>
                        <w:r>
                          <w:rPr>
                            <w:sz w:val="24"/>
                          </w:rPr>
                          <w:t>总排放量（</w:t>
                        </w:r>
                        <w:r>
                          <w:rPr>
                            <w:rFonts w:ascii="Times New Roman" w:eastAsia="Times New Roman"/>
                            <w:sz w:val="24"/>
                          </w:rPr>
                          <w:t>tCO</w:t>
                        </w:r>
                        <w:r>
                          <w:rPr>
                            <w:rFonts w:ascii="Times New Roman" w:eastAsia="Times New Roman"/>
                            <w:sz w:val="24"/>
                            <w:vertAlign w:val="subscript"/>
                          </w:rPr>
                          <w:t>2</w:t>
                        </w:r>
                        <w:r>
                          <w:rPr>
                            <w:rFonts w:ascii="Times New Roman" w:eastAsia="Times New Roman"/>
                            <w:sz w:val="24"/>
                            <w:vertAlign w:val="baseline"/>
                          </w:rPr>
                          <w:t>e</w:t>
                        </w:r>
                        <w:r>
                          <w:rPr>
                            <w:sz w:val="24"/>
                            <w:vertAlign w:val="baseline"/>
                          </w:rPr>
                          <w:t>）</w:t>
                        </w:r>
                      </w:p>
                    </w:tc>
                    <w:tc>
                      <w:tcPr>
                        <w:tcW w:w="2911" w:type="dxa"/>
                      </w:tcPr>
                      <w:p>
                        <w:pPr>
                          <w:pStyle w:val="TableParagraph"/>
                          <w:spacing w:before="83"/>
                          <w:ind w:left="1042" w:right="1032"/>
                          <w:jc w:val="center"/>
                          <w:rPr>
                            <w:rFonts w:ascii="Times New Roman"/>
                            <w:sz w:val="24"/>
                          </w:rPr>
                        </w:pPr>
                        <w:r>
                          <w:rPr>
                            <w:rFonts w:ascii="Times New Roman"/>
                            <w:sz w:val="24"/>
                          </w:rPr>
                          <w:t>7125.73</w:t>
                        </w:r>
                      </w:p>
                    </w:tc>
                  </w:tr>
                </w:tbl>
                <w:p>
                  <w:pPr>
                    <w:pStyle w:val="BodyText"/>
                  </w:pPr>
                </w:p>
              </w:txbxContent>
            </v:textbox>
            <w10:wrap type="none"/>
          </v:shape>
        </w:pict>
      </w:r>
      <w:r>
        <w:rPr>
          <w:rFonts w:ascii="Microsoft JhengHei" w:eastAsia="Microsoft JhengHei" w:hint="eastAsia"/>
          <w:b/>
          <w:sz w:val="32"/>
        </w:rPr>
        <w:t>核查基本情况表</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281"/>
        <w:gridCol w:w="2491"/>
        <w:gridCol w:w="633"/>
        <w:gridCol w:w="1252"/>
        <w:gridCol w:w="455"/>
        <w:gridCol w:w="2783"/>
      </w:tblGrid>
      <w:tr>
        <w:trPr>
          <w:trHeight w:val="621" w:hRule="atLeast"/>
        </w:trPr>
        <w:tc>
          <w:tcPr>
            <w:tcW w:w="1277" w:type="dxa"/>
          </w:tcPr>
          <w:p>
            <w:pPr>
              <w:pStyle w:val="TableParagraph"/>
              <w:spacing w:line="298" w:lineRule="exact"/>
              <w:ind w:left="138" w:right="129"/>
              <w:jc w:val="center"/>
              <w:rPr>
                <w:sz w:val="24"/>
              </w:rPr>
            </w:pPr>
            <w:r>
              <w:rPr>
                <w:sz w:val="24"/>
              </w:rPr>
              <w:t>排放单位</w:t>
            </w:r>
          </w:p>
          <w:p>
            <w:pPr>
              <w:pStyle w:val="TableParagraph"/>
              <w:spacing w:line="299" w:lineRule="exact" w:before="4"/>
              <w:ind w:left="138" w:right="129"/>
              <w:jc w:val="center"/>
              <w:rPr>
                <w:sz w:val="24"/>
              </w:rPr>
            </w:pPr>
            <w:r>
              <w:rPr>
                <w:sz w:val="24"/>
              </w:rPr>
              <w:t>名称</w:t>
            </w:r>
          </w:p>
        </w:tc>
        <w:tc>
          <w:tcPr>
            <w:tcW w:w="2772" w:type="dxa"/>
            <w:gridSpan w:val="2"/>
          </w:tcPr>
          <w:p>
            <w:pPr>
              <w:pStyle w:val="TableParagraph"/>
              <w:spacing w:line="298" w:lineRule="exact"/>
              <w:ind w:left="164" w:right="158"/>
              <w:jc w:val="center"/>
              <w:rPr>
                <w:sz w:val="24"/>
              </w:rPr>
            </w:pPr>
            <w:r>
              <w:rPr>
                <w:sz w:val="24"/>
              </w:rPr>
              <w:t>山东鑫亚工业股份有限</w:t>
            </w:r>
          </w:p>
          <w:p>
            <w:pPr>
              <w:pStyle w:val="TableParagraph"/>
              <w:spacing w:line="299" w:lineRule="exact" w:before="4"/>
              <w:ind w:left="164" w:right="158"/>
              <w:jc w:val="center"/>
              <w:rPr>
                <w:sz w:val="24"/>
              </w:rPr>
            </w:pPr>
            <w:r>
              <w:rPr>
                <w:sz w:val="24"/>
              </w:rPr>
              <w:t>公司</w:t>
            </w:r>
          </w:p>
        </w:tc>
        <w:tc>
          <w:tcPr>
            <w:tcW w:w="1885" w:type="dxa"/>
            <w:gridSpan w:val="2"/>
          </w:tcPr>
          <w:p>
            <w:pPr>
              <w:pStyle w:val="TableParagraph"/>
              <w:spacing w:before="146"/>
              <w:ind w:left="680" w:right="675"/>
              <w:jc w:val="center"/>
              <w:rPr>
                <w:sz w:val="24"/>
              </w:rPr>
            </w:pPr>
            <w:r>
              <w:rPr>
                <w:sz w:val="24"/>
              </w:rPr>
              <w:t>地址</w:t>
            </w:r>
          </w:p>
        </w:tc>
        <w:tc>
          <w:tcPr>
            <w:tcW w:w="3238" w:type="dxa"/>
            <w:gridSpan w:val="2"/>
          </w:tcPr>
          <w:p>
            <w:pPr>
              <w:pStyle w:val="TableParagraph"/>
              <w:spacing w:line="298" w:lineRule="exact"/>
              <w:ind w:left="161" w:right="147"/>
              <w:jc w:val="center"/>
              <w:rPr>
                <w:sz w:val="24"/>
              </w:rPr>
            </w:pPr>
            <w:r>
              <w:rPr>
                <w:sz w:val="24"/>
              </w:rPr>
              <w:t>聊城高新技术产业开发区长</w:t>
            </w:r>
          </w:p>
          <w:p>
            <w:pPr>
              <w:pStyle w:val="TableParagraph"/>
              <w:spacing w:line="299" w:lineRule="exact" w:before="4"/>
              <w:ind w:left="161" w:right="147"/>
              <w:jc w:val="center"/>
              <w:rPr>
                <w:sz w:val="24"/>
              </w:rPr>
            </w:pPr>
            <w:r>
              <w:rPr>
                <w:sz w:val="24"/>
              </w:rPr>
              <w:t>江中路 </w:t>
            </w:r>
            <w:r>
              <w:rPr>
                <w:rFonts w:ascii="Times New Roman" w:eastAsia="Times New Roman"/>
                <w:sz w:val="24"/>
              </w:rPr>
              <w:t>1 </w:t>
            </w:r>
            <w:r>
              <w:rPr>
                <w:sz w:val="24"/>
              </w:rPr>
              <w:t>号</w:t>
            </w:r>
          </w:p>
        </w:tc>
      </w:tr>
      <w:tr>
        <w:trPr>
          <w:trHeight w:val="623" w:hRule="atLeast"/>
        </w:trPr>
        <w:tc>
          <w:tcPr>
            <w:tcW w:w="1277" w:type="dxa"/>
          </w:tcPr>
          <w:p>
            <w:pPr>
              <w:pStyle w:val="TableParagraph"/>
              <w:spacing w:before="146"/>
              <w:ind w:left="278"/>
              <w:rPr>
                <w:sz w:val="24"/>
              </w:rPr>
            </w:pPr>
            <w:r>
              <w:rPr>
                <w:sz w:val="24"/>
              </w:rPr>
              <w:t>联系人</w:t>
            </w:r>
          </w:p>
        </w:tc>
        <w:tc>
          <w:tcPr>
            <w:tcW w:w="2772" w:type="dxa"/>
            <w:gridSpan w:val="2"/>
          </w:tcPr>
          <w:p>
            <w:pPr>
              <w:pStyle w:val="TableParagraph"/>
              <w:spacing w:before="146"/>
              <w:ind w:left="164" w:right="158"/>
              <w:jc w:val="center"/>
              <w:rPr>
                <w:sz w:val="24"/>
              </w:rPr>
            </w:pPr>
            <w:r>
              <w:rPr>
                <w:sz w:val="24"/>
              </w:rPr>
              <w:t>杜红光</w:t>
            </w:r>
          </w:p>
        </w:tc>
        <w:tc>
          <w:tcPr>
            <w:tcW w:w="1885" w:type="dxa"/>
            <w:gridSpan w:val="2"/>
          </w:tcPr>
          <w:p>
            <w:pPr>
              <w:pStyle w:val="TableParagraph"/>
              <w:spacing w:line="298" w:lineRule="exact"/>
              <w:ind w:left="220"/>
              <w:rPr>
                <w:sz w:val="24"/>
              </w:rPr>
            </w:pPr>
            <w:r>
              <w:rPr>
                <w:sz w:val="24"/>
              </w:rPr>
              <w:t>联系方式（电</w:t>
            </w:r>
          </w:p>
          <w:p>
            <w:pPr>
              <w:pStyle w:val="TableParagraph"/>
              <w:spacing w:line="301" w:lineRule="exact" w:before="4"/>
              <w:ind w:left="313"/>
              <w:rPr>
                <w:sz w:val="24"/>
              </w:rPr>
            </w:pPr>
            <w:r>
              <w:rPr>
                <w:spacing w:val="-1"/>
                <w:sz w:val="24"/>
              </w:rPr>
              <w:t>话、</w:t>
            </w:r>
            <w:r>
              <w:rPr>
                <w:rFonts w:ascii="Times New Roman" w:eastAsia="Times New Roman"/>
                <w:sz w:val="24"/>
              </w:rPr>
              <w:t>email</w:t>
            </w:r>
            <w:r>
              <w:rPr>
                <w:sz w:val="24"/>
              </w:rPr>
              <w:t>）</w:t>
            </w:r>
          </w:p>
        </w:tc>
        <w:tc>
          <w:tcPr>
            <w:tcW w:w="3238" w:type="dxa"/>
            <w:gridSpan w:val="2"/>
          </w:tcPr>
          <w:p>
            <w:pPr>
              <w:pStyle w:val="TableParagraph"/>
              <w:spacing w:before="157"/>
              <w:ind w:left="961"/>
              <w:rPr>
                <w:rFonts w:ascii="Times New Roman"/>
                <w:sz w:val="24"/>
              </w:rPr>
            </w:pPr>
            <w:r>
              <w:rPr>
                <w:rFonts w:ascii="Times New Roman"/>
                <w:sz w:val="24"/>
              </w:rPr>
              <w:t>13963588316</w:t>
            </w:r>
          </w:p>
        </w:tc>
      </w:tr>
      <w:tr>
        <w:trPr>
          <w:trHeight w:val="453" w:hRule="atLeast"/>
        </w:trPr>
        <w:tc>
          <w:tcPr>
            <w:tcW w:w="4049" w:type="dxa"/>
            <w:gridSpan w:val="3"/>
          </w:tcPr>
          <w:p>
            <w:pPr>
              <w:pStyle w:val="TableParagraph"/>
              <w:spacing w:before="62"/>
              <w:ind w:left="823"/>
              <w:rPr>
                <w:sz w:val="24"/>
              </w:rPr>
            </w:pPr>
            <w:r>
              <w:rPr>
                <w:sz w:val="24"/>
              </w:rPr>
              <w:t>排放单位所属行业领域</w:t>
            </w:r>
          </w:p>
        </w:tc>
        <w:tc>
          <w:tcPr>
            <w:tcW w:w="5123" w:type="dxa"/>
            <w:gridSpan w:val="4"/>
          </w:tcPr>
          <w:p>
            <w:pPr>
              <w:pStyle w:val="TableParagraph"/>
              <w:spacing w:before="62"/>
              <w:ind w:left="105"/>
              <w:rPr>
                <w:sz w:val="24"/>
              </w:rPr>
            </w:pPr>
            <w:r>
              <w:rPr>
                <w:sz w:val="24"/>
              </w:rPr>
              <w:t>内燃机及配件制造（</w:t>
            </w:r>
            <w:r>
              <w:rPr>
                <w:rFonts w:ascii="Times New Roman" w:eastAsia="Times New Roman"/>
                <w:sz w:val="24"/>
              </w:rPr>
              <w:t>C3412</w:t>
            </w:r>
            <w:r>
              <w:rPr>
                <w:sz w:val="24"/>
              </w:rPr>
              <w:t>）</w:t>
            </w:r>
          </w:p>
        </w:tc>
      </w:tr>
      <w:tr>
        <w:trPr>
          <w:trHeight w:val="453" w:hRule="atLeast"/>
        </w:trPr>
        <w:tc>
          <w:tcPr>
            <w:tcW w:w="4049" w:type="dxa"/>
            <w:gridSpan w:val="3"/>
          </w:tcPr>
          <w:p>
            <w:pPr>
              <w:pStyle w:val="TableParagraph"/>
              <w:spacing w:before="62"/>
              <w:ind w:left="463"/>
              <w:rPr>
                <w:sz w:val="24"/>
              </w:rPr>
            </w:pPr>
            <w:r>
              <w:rPr>
                <w:sz w:val="24"/>
              </w:rPr>
              <w:t>重点排放单位是否为独立法人</w:t>
            </w:r>
          </w:p>
        </w:tc>
        <w:tc>
          <w:tcPr>
            <w:tcW w:w="5123" w:type="dxa"/>
            <w:gridSpan w:val="4"/>
          </w:tcPr>
          <w:p>
            <w:pPr>
              <w:pStyle w:val="TableParagraph"/>
              <w:spacing w:before="62"/>
              <w:ind w:left="105"/>
              <w:rPr>
                <w:sz w:val="24"/>
              </w:rPr>
            </w:pPr>
            <w:r>
              <w:rPr>
                <w:sz w:val="24"/>
              </w:rPr>
              <w:t>是</w:t>
            </w:r>
          </w:p>
        </w:tc>
      </w:tr>
      <w:tr>
        <w:trPr>
          <w:trHeight w:val="623" w:hRule="atLeast"/>
        </w:trPr>
        <w:tc>
          <w:tcPr>
            <w:tcW w:w="4049" w:type="dxa"/>
            <w:gridSpan w:val="3"/>
          </w:tcPr>
          <w:p>
            <w:pPr>
              <w:pStyle w:val="TableParagraph"/>
              <w:spacing w:before="146"/>
              <w:ind w:left="1183"/>
              <w:rPr>
                <w:sz w:val="24"/>
              </w:rPr>
            </w:pPr>
            <w:r>
              <w:rPr>
                <w:sz w:val="24"/>
              </w:rPr>
              <w:t>核算和报告依据</w:t>
            </w:r>
          </w:p>
        </w:tc>
        <w:tc>
          <w:tcPr>
            <w:tcW w:w="5123" w:type="dxa"/>
            <w:gridSpan w:val="4"/>
          </w:tcPr>
          <w:p>
            <w:pPr>
              <w:pStyle w:val="TableParagraph"/>
              <w:spacing w:line="300" w:lineRule="exact"/>
              <w:ind w:left="105"/>
              <w:rPr>
                <w:sz w:val="24"/>
              </w:rPr>
            </w:pPr>
            <w:r>
              <w:rPr>
                <w:sz w:val="24"/>
              </w:rPr>
              <w:t>《机械设备制造企业温室气体排放核算方法与</w:t>
            </w:r>
          </w:p>
          <w:p>
            <w:pPr>
              <w:pStyle w:val="TableParagraph"/>
              <w:spacing w:line="301" w:lineRule="exact" w:before="2"/>
              <w:ind w:left="105"/>
              <w:rPr>
                <w:sz w:val="24"/>
              </w:rPr>
            </w:pPr>
            <w:r>
              <w:rPr>
                <w:sz w:val="24"/>
              </w:rPr>
              <w:t>报告指南（试行）》</w:t>
            </w:r>
          </w:p>
        </w:tc>
      </w:tr>
      <w:tr>
        <w:trPr>
          <w:trHeight w:val="453" w:hRule="atLeast"/>
        </w:trPr>
        <w:tc>
          <w:tcPr>
            <w:tcW w:w="4049" w:type="dxa"/>
            <w:gridSpan w:val="3"/>
            <w:vMerge w:val="restart"/>
          </w:tcPr>
          <w:p>
            <w:pPr>
              <w:pStyle w:val="TableParagraph"/>
              <w:spacing w:before="1"/>
              <w:rPr>
                <w:rFonts w:ascii="Microsoft JhengHei"/>
                <w:b/>
                <w:sz w:val="16"/>
              </w:rPr>
            </w:pPr>
          </w:p>
          <w:p>
            <w:pPr>
              <w:pStyle w:val="TableParagraph"/>
              <w:ind w:left="530"/>
              <w:rPr>
                <w:sz w:val="24"/>
              </w:rPr>
            </w:pPr>
            <w:r>
              <w:rPr>
                <w:sz w:val="24"/>
              </w:rPr>
              <w:t>经核查后的排放量（</w:t>
            </w:r>
            <w:r>
              <w:rPr>
                <w:rFonts w:ascii="Times New Roman" w:eastAsia="Times New Roman"/>
                <w:sz w:val="24"/>
              </w:rPr>
              <w:t>tCO</w:t>
            </w:r>
            <w:r>
              <w:rPr>
                <w:rFonts w:ascii="Times New Roman" w:eastAsia="Times New Roman"/>
                <w:sz w:val="24"/>
                <w:vertAlign w:val="subscript"/>
              </w:rPr>
              <w:t>2</w:t>
            </w:r>
            <w:r>
              <w:rPr>
                <w:rFonts w:ascii="Times New Roman" w:eastAsia="Times New Roman"/>
                <w:sz w:val="24"/>
                <w:vertAlign w:val="baseline"/>
              </w:rPr>
              <w:t>e</w:t>
            </w:r>
            <w:r>
              <w:rPr>
                <w:sz w:val="24"/>
                <w:vertAlign w:val="baseline"/>
              </w:rPr>
              <w:t>）</w:t>
            </w:r>
          </w:p>
        </w:tc>
        <w:tc>
          <w:tcPr>
            <w:tcW w:w="5123" w:type="dxa"/>
            <w:gridSpan w:val="4"/>
          </w:tcPr>
          <w:p>
            <w:pPr>
              <w:pStyle w:val="TableParagraph"/>
              <w:spacing w:before="62"/>
              <w:ind w:left="2031" w:right="2021"/>
              <w:jc w:val="center"/>
              <w:rPr>
                <w:sz w:val="24"/>
              </w:rPr>
            </w:pPr>
            <w:r>
              <w:rPr>
                <w:rFonts w:ascii="Times New Roman" w:eastAsia="Times New Roman"/>
                <w:sz w:val="24"/>
              </w:rPr>
              <w:t>2021 </w:t>
            </w:r>
            <w:r>
              <w:rPr>
                <w:sz w:val="24"/>
              </w:rPr>
              <w:t>年度</w:t>
            </w:r>
          </w:p>
        </w:tc>
      </w:tr>
      <w:tr>
        <w:trPr>
          <w:trHeight w:val="455" w:hRule="atLeast"/>
        </w:trPr>
        <w:tc>
          <w:tcPr>
            <w:tcW w:w="4049" w:type="dxa"/>
            <w:gridSpan w:val="3"/>
            <w:vMerge/>
            <w:tcBorders>
              <w:top w:val="nil"/>
            </w:tcBorders>
          </w:tcPr>
          <w:p>
            <w:pPr>
              <w:rPr>
                <w:sz w:val="2"/>
                <w:szCs w:val="2"/>
              </w:rPr>
            </w:pPr>
          </w:p>
        </w:tc>
        <w:tc>
          <w:tcPr>
            <w:tcW w:w="5123" w:type="dxa"/>
            <w:gridSpan w:val="4"/>
          </w:tcPr>
          <w:p>
            <w:pPr>
              <w:pStyle w:val="TableParagraph"/>
              <w:spacing w:before="73"/>
              <w:ind w:left="2031" w:right="2021"/>
              <w:jc w:val="center"/>
              <w:rPr>
                <w:rFonts w:ascii="Times New Roman"/>
                <w:sz w:val="24"/>
              </w:rPr>
            </w:pPr>
            <w:r>
              <w:rPr>
                <w:rFonts w:ascii="Times New Roman"/>
                <w:sz w:val="24"/>
              </w:rPr>
              <w:t>7125.73</w:t>
            </w:r>
          </w:p>
        </w:tc>
      </w:tr>
      <w:tr>
        <w:trPr>
          <w:trHeight w:val="5289" w:hRule="atLeast"/>
        </w:trPr>
        <w:tc>
          <w:tcPr>
            <w:tcW w:w="9172" w:type="dxa"/>
            <w:gridSpan w:val="7"/>
          </w:tcPr>
          <w:p>
            <w:pPr>
              <w:pStyle w:val="TableParagraph"/>
              <w:spacing w:line="298" w:lineRule="exact"/>
              <w:ind w:left="107"/>
              <w:rPr>
                <w:sz w:val="24"/>
              </w:rPr>
            </w:pPr>
            <w:r>
              <w:rPr>
                <w:sz w:val="24"/>
              </w:rPr>
              <w:t>核查结论</w:t>
            </w:r>
          </w:p>
          <w:p>
            <w:pPr>
              <w:pStyle w:val="TableParagraph"/>
              <w:spacing w:before="4"/>
              <w:ind w:left="587"/>
              <w:rPr>
                <w:sz w:val="24"/>
              </w:rPr>
            </w:pPr>
            <w:r>
              <w:rPr>
                <w:sz w:val="24"/>
              </w:rPr>
              <w:t>基于文件评审和现场评审，核查机构确认：</w:t>
            </w:r>
          </w:p>
          <w:p>
            <w:pPr>
              <w:pStyle w:val="TableParagraph"/>
              <w:spacing w:before="2"/>
              <w:ind w:left="107"/>
              <w:rPr>
                <w:b/>
                <w:sz w:val="24"/>
              </w:rPr>
            </w:pPr>
            <w:r>
              <w:rPr>
                <w:rFonts w:ascii="Times New Roman" w:eastAsia="Times New Roman"/>
                <w:b/>
                <w:sz w:val="24"/>
              </w:rPr>
              <w:t>1</w:t>
            </w:r>
            <w:r>
              <w:rPr>
                <w:b/>
                <w:sz w:val="24"/>
              </w:rPr>
              <w:t>、排放单位的排放报告与核算方法与报告指南的符合性</w:t>
            </w:r>
          </w:p>
          <w:p>
            <w:pPr>
              <w:pStyle w:val="TableParagraph"/>
              <w:spacing w:line="242" w:lineRule="auto" w:before="5"/>
              <w:ind w:left="107" w:right="-29" w:firstLine="480"/>
              <w:rPr>
                <w:sz w:val="24"/>
              </w:rPr>
            </w:pPr>
            <w:r>
              <w:rPr>
                <w:spacing w:val="-9"/>
                <w:sz w:val="24"/>
              </w:rPr>
              <w:t>经核查确认，山东鑫亚工业股份有限公司提交的 </w:t>
            </w:r>
            <w:r>
              <w:rPr>
                <w:rFonts w:ascii="Times New Roman" w:eastAsia="Times New Roman"/>
                <w:sz w:val="24"/>
              </w:rPr>
              <w:t>2021 </w:t>
            </w:r>
            <w:r>
              <w:rPr>
                <w:sz w:val="24"/>
              </w:rPr>
              <w:t>年度最终版排放报告中的企</w:t>
            </w:r>
            <w:r>
              <w:rPr>
                <w:spacing w:val="-7"/>
                <w:sz w:val="24"/>
              </w:rPr>
              <w:t>业基本情况、核算边界、活动水平数据、排放因子数据以及温室气体排放核算和报告， </w:t>
            </w:r>
            <w:r>
              <w:rPr>
                <w:sz w:val="24"/>
              </w:rPr>
              <w:t>符合《机械设备制造企业温室气体排放核算方法与报告指南（试行）》的要求。</w:t>
            </w:r>
          </w:p>
          <w:p>
            <w:pPr>
              <w:pStyle w:val="TableParagraph"/>
              <w:spacing w:before="2"/>
              <w:ind w:left="107"/>
              <w:rPr>
                <w:b/>
                <w:sz w:val="24"/>
              </w:rPr>
            </w:pPr>
            <w:r>
              <w:rPr>
                <w:rFonts w:ascii="Times New Roman" w:eastAsia="Times New Roman"/>
                <w:b/>
                <w:sz w:val="24"/>
              </w:rPr>
              <w:t>2</w:t>
            </w:r>
            <w:r>
              <w:rPr>
                <w:b/>
                <w:sz w:val="24"/>
              </w:rPr>
              <w:t>、重点排放单位的排放量声明</w:t>
            </w:r>
          </w:p>
          <w:p>
            <w:pPr>
              <w:pStyle w:val="TableParagraph"/>
              <w:spacing w:before="4"/>
              <w:ind w:left="587"/>
              <w:rPr>
                <w:sz w:val="24"/>
              </w:rPr>
            </w:pPr>
            <w:r>
              <w:rPr>
                <w:sz w:val="24"/>
              </w:rPr>
              <w:t>经核查的排放量与最终排放报告中一致。</w:t>
            </w:r>
          </w:p>
          <w:p>
            <w:pPr>
              <w:pStyle w:val="TableParagraph"/>
              <w:rPr>
                <w:rFonts w:ascii="Microsoft JhengHei"/>
                <w:b/>
                <w:sz w:val="24"/>
              </w:rPr>
            </w:pPr>
          </w:p>
          <w:p>
            <w:pPr>
              <w:pStyle w:val="TableParagraph"/>
              <w:rPr>
                <w:rFonts w:ascii="Microsoft JhengHei"/>
                <w:b/>
                <w:sz w:val="24"/>
              </w:rPr>
            </w:pPr>
          </w:p>
          <w:p>
            <w:pPr>
              <w:pStyle w:val="TableParagraph"/>
              <w:rPr>
                <w:rFonts w:ascii="Microsoft JhengHei"/>
                <w:b/>
                <w:sz w:val="24"/>
              </w:rPr>
            </w:pPr>
          </w:p>
          <w:p>
            <w:pPr>
              <w:pStyle w:val="TableParagraph"/>
              <w:spacing w:before="12"/>
              <w:rPr>
                <w:rFonts w:ascii="Microsoft JhengHei"/>
                <w:b/>
                <w:sz w:val="29"/>
              </w:rPr>
            </w:pPr>
          </w:p>
          <w:p>
            <w:pPr>
              <w:pStyle w:val="TableParagraph"/>
              <w:ind w:left="107"/>
              <w:rPr>
                <w:b/>
                <w:sz w:val="24"/>
              </w:rPr>
            </w:pPr>
            <w:r>
              <w:rPr>
                <w:rFonts w:ascii="Times New Roman" w:eastAsia="Times New Roman"/>
                <w:b/>
                <w:sz w:val="24"/>
              </w:rPr>
              <w:t>3</w:t>
            </w:r>
            <w:r>
              <w:rPr>
                <w:b/>
                <w:sz w:val="24"/>
              </w:rPr>
              <w:t>、核查过程中未覆盖的问题描述</w:t>
            </w:r>
          </w:p>
          <w:p>
            <w:pPr>
              <w:pStyle w:val="TableParagraph"/>
              <w:spacing w:line="310" w:lineRule="atLeast" w:before="2"/>
              <w:ind w:left="107" w:right="90" w:firstLine="240"/>
              <w:rPr>
                <w:sz w:val="24"/>
              </w:rPr>
            </w:pPr>
            <w:r>
              <w:rPr>
                <w:sz w:val="24"/>
              </w:rPr>
              <w:t>《核算指南》所要求的内容已在本次核查中全面覆盖，本次核查过程中不存在未覆盖的问题。</w:t>
            </w:r>
          </w:p>
        </w:tc>
      </w:tr>
      <w:tr>
        <w:trPr>
          <w:trHeight w:val="558" w:hRule="atLeast"/>
        </w:trPr>
        <w:tc>
          <w:tcPr>
            <w:tcW w:w="1558" w:type="dxa"/>
            <w:gridSpan w:val="2"/>
          </w:tcPr>
          <w:p>
            <w:pPr>
              <w:pStyle w:val="TableParagraph"/>
              <w:spacing w:before="115"/>
              <w:ind w:left="297"/>
              <w:rPr>
                <w:sz w:val="24"/>
              </w:rPr>
            </w:pPr>
            <w:r>
              <w:rPr>
                <w:sz w:val="24"/>
              </w:rPr>
              <w:t>核查组长</w:t>
            </w:r>
          </w:p>
        </w:tc>
        <w:tc>
          <w:tcPr>
            <w:tcW w:w="3124" w:type="dxa"/>
            <w:gridSpan w:val="2"/>
          </w:tcPr>
          <w:p>
            <w:pPr>
              <w:pStyle w:val="TableParagraph"/>
              <w:spacing w:before="115"/>
              <w:ind w:left="1181" w:right="1172"/>
              <w:jc w:val="center"/>
              <w:rPr>
                <w:sz w:val="24"/>
              </w:rPr>
            </w:pPr>
            <w:r>
              <w:rPr>
                <w:sz w:val="24"/>
              </w:rPr>
              <w:t>陈飞</w:t>
            </w:r>
          </w:p>
        </w:tc>
        <w:tc>
          <w:tcPr>
            <w:tcW w:w="1707" w:type="dxa"/>
            <w:gridSpan w:val="2"/>
          </w:tcPr>
          <w:p>
            <w:pPr>
              <w:pStyle w:val="TableParagraph"/>
              <w:spacing w:before="115"/>
              <w:ind w:left="592" w:right="585"/>
              <w:jc w:val="center"/>
              <w:rPr>
                <w:sz w:val="24"/>
              </w:rPr>
            </w:pPr>
            <w:r>
              <w:rPr>
                <w:sz w:val="24"/>
              </w:rPr>
              <w:t>日期</w:t>
            </w:r>
          </w:p>
        </w:tc>
        <w:tc>
          <w:tcPr>
            <w:tcW w:w="2783" w:type="dxa"/>
          </w:tcPr>
          <w:p>
            <w:pPr>
              <w:pStyle w:val="TableParagraph"/>
              <w:spacing w:before="115"/>
              <w:ind w:left="382" w:right="370"/>
              <w:jc w:val="center"/>
              <w:rPr>
                <w:sz w:val="24"/>
              </w:rPr>
            </w:pPr>
            <w:r>
              <w:rPr>
                <w:rFonts w:ascii="Times New Roman" w:eastAsia="Times New Roman"/>
                <w:sz w:val="24"/>
              </w:rPr>
              <w:t>2022 </w:t>
            </w:r>
            <w:r>
              <w:rPr>
                <w:sz w:val="24"/>
              </w:rPr>
              <w:t>年 </w:t>
            </w:r>
            <w:r>
              <w:rPr>
                <w:rFonts w:ascii="Times New Roman" w:eastAsia="Times New Roman"/>
                <w:sz w:val="24"/>
              </w:rPr>
              <w:t>3 </w:t>
            </w:r>
            <w:r>
              <w:rPr>
                <w:sz w:val="24"/>
              </w:rPr>
              <w:t>月 </w:t>
            </w:r>
            <w:r>
              <w:rPr>
                <w:rFonts w:ascii="Times New Roman" w:eastAsia="Times New Roman"/>
                <w:sz w:val="24"/>
              </w:rPr>
              <w:t>25 </w:t>
            </w:r>
            <w:r>
              <w:rPr>
                <w:sz w:val="24"/>
              </w:rPr>
              <w:t>日</w:t>
            </w:r>
          </w:p>
        </w:tc>
      </w:tr>
      <w:tr>
        <w:trPr>
          <w:trHeight w:val="659" w:hRule="atLeast"/>
        </w:trPr>
        <w:tc>
          <w:tcPr>
            <w:tcW w:w="1558" w:type="dxa"/>
            <w:gridSpan w:val="2"/>
          </w:tcPr>
          <w:p>
            <w:pPr>
              <w:pStyle w:val="TableParagraph"/>
              <w:spacing w:before="165"/>
              <w:ind w:left="177"/>
              <w:rPr>
                <w:sz w:val="24"/>
              </w:rPr>
            </w:pPr>
            <w:r>
              <w:rPr>
                <w:sz w:val="24"/>
              </w:rPr>
              <w:t>核查组成员</w:t>
            </w:r>
          </w:p>
        </w:tc>
        <w:tc>
          <w:tcPr>
            <w:tcW w:w="3124" w:type="dxa"/>
            <w:gridSpan w:val="2"/>
          </w:tcPr>
          <w:p>
            <w:pPr>
              <w:pStyle w:val="TableParagraph"/>
              <w:spacing w:before="165"/>
              <w:ind w:left="1181" w:right="1172"/>
              <w:jc w:val="center"/>
              <w:rPr>
                <w:sz w:val="24"/>
              </w:rPr>
            </w:pPr>
            <w:r>
              <w:rPr>
                <w:sz w:val="24"/>
              </w:rPr>
              <w:t>王文霞</w:t>
            </w:r>
          </w:p>
        </w:tc>
        <w:tc>
          <w:tcPr>
            <w:tcW w:w="1707" w:type="dxa"/>
            <w:gridSpan w:val="2"/>
          </w:tcPr>
          <w:p>
            <w:pPr>
              <w:pStyle w:val="TableParagraph"/>
              <w:spacing w:before="165"/>
              <w:ind w:left="592" w:right="585"/>
              <w:jc w:val="center"/>
              <w:rPr>
                <w:sz w:val="24"/>
              </w:rPr>
            </w:pPr>
            <w:r>
              <w:rPr>
                <w:sz w:val="24"/>
              </w:rPr>
              <w:t>日期</w:t>
            </w:r>
          </w:p>
        </w:tc>
        <w:tc>
          <w:tcPr>
            <w:tcW w:w="2783" w:type="dxa"/>
          </w:tcPr>
          <w:p>
            <w:pPr>
              <w:pStyle w:val="TableParagraph"/>
              <w:spacing w:before="165"/>
              <w:ind w:left="382" w:right="370"/>
              <w:jc w:val="center"/>
              <w:rPr>
                <w:sz w:val="24"/>
              </w:rPr>
            </w:pPr>
            <w:r>
              <w:rPr>
                <w:rFonts w:ascii="Times New Roman" w:eastAsia="Times New Roman"/>
                <w:sz w:val="24"/>
              </w:rPr>
              <w:t>2022 </w:t>
            </w:r>
            <w:r>
              <w:rPr>
                <w:sz w:val="24"/>
              </w:rPr>
              <w:t>年 </w:t>
            </w:r>
            <w:r>
              <w:rPr>
                <w:rFonts w:ascii="Times New Roman" w:eastAsia="Times New Roman"/>
                <w:sz w:val="24"/>
              </w:rPr>
              <w:t>3 </w:t>
            </w:r>
            <w:r>
              <w:rPr>
                <w:sz w:val="24"/>
              </w:rPr>
              <w:t>月 </w:t>
            </w:r>
            <w:r>
              <w:rPr>
                <w:rFonts w:ascii="Times New Roman" w:eastAsia="Times New Roman"/>
                <w:sz w:val="24"/>
              </w:rPr>
              <w:t>25 </w:t>
            </w:r>
            <w:r>
              <w:rPr>
                <w:sz w:val="24"/>
              </w:rPr>
              <w:t>日</w:t>
            </w:r>
          </w:p>
        </w:tc>
      </w:tr>
      <w:tr>
        <w:trPr>
          <w:trHeight w:val="520" w:hRule="atLeast"/>
        </w:trPr>
        <w:tc>
          <w:tcPr>
            <w:tcW w:w="1558" w:type="dxa"/>
            <w:gridSpan w:val="2"/>
          </w:tcPr>
          <w:p>
            <w:pPr>
              <w:pStyle w:val="TableParagraph"/>
              <w:spacing w:before="96"/>
              <w:ind w:left="177"/>
              <w:rPr>
                <w:sz w:val="24"/>
              </w:rPr>
            </w:pPr>
            <w:r>
              <w:rPr>
                <w:sz w:val="24"/>
              </w:rPr>
              <w:t>技术评审人</w:t>
            </w:r>
          </w:p>
        </w:tc>
        <w:tc>
          <w:tcPr>
            <w:tcW w:w="3124" w:type="dxa"/>
            <w:gridSpan w:val="2"/>
          </w:tcPr>
          <w:p>
            <w:pPr>
              <w:pStyle w:val="TableParagraph"/>
              <w:spacing w:before="96"/>
              <w:ind w:left="1181" w:right="1172"/>
              <w:jc w:val="center"/>
              <w:rPr>
                <w:sz w:val="24"/>
              </w:rPr>
            </w:pPr>
            <w:r>
              <w:rPr>
                <w:sz w:val="24"/>
              </w:rPr>
              <w:t>于慧敏</w:t>
            </w:r>
          </w:p>
        </w:tc>
        <w:tc>
          <w:tcPr>
            <w:tcW w:w="1707" w:type="dxa"/>
            <w:gridSpan w:val="2"/>
          </w:tcPr>
          <w:p>
            <w:pPr>
              <w:pStyle w:val="TableParagraph"/>
              <w:spacing w:before="96"/>
              <w:ind w:left="592" w:right="585"/>
              <w:jc w:val="center"/>
              <w:rPr>
                <w:sz w:val="24"/>
              </w:rPr>
            </w:pPr>
            <w:r>
              <w:rPr>
                <w:sz w:val="24"/>
              </w:rPr>
              <w:t>日期</w:t>
            </w:r>
          </w:p>
        </w:tc>
        <w:tc>
          <w:tcPr>
            <w:tcW w:w="2783" w:type="dxa"/>
          </w:tcPr>
          <w:p>
            <w:pPr>
              <w:pStyle w:val="TableParagraph"/>
              <w:spacing w:before="96"/>
              <w:ind w:left="382" w:right="370"/>
              <w:jc w:val="center"/>
              <w:rPr>
                <w:sz w:val="24"/>
              </w:rPr>
            </w:pPr>
            <w:r>
              <w:rPr>
                <w:rFonts w:ascii="Times New Roman" w:eastAsia="Times New Roman"/>
                <w:sz w:val="24"/>
              </w:rPr>
              <w:t>2022 </w:t>
            </w:r>
            <w:r>
              <w:rPr>
                <w:sz w:val="24"/>
              </w:rPr>
              <w:t>年 </w:t>
            </w:r>
            <w:r>
              <w:rPr>
                <w:rFonts w:ascii="Times New Roman" w:eastAsia="Times New Roman"/>
                <w:sz w:val="24"/>
              </w:rPr>
              <w:t>3 </w:t>
            </w:r>
            <w:r>
              <w:rPr>
                <w:sz w:val="24"/>
              </w:rPr>
              <w:t>月 </w:t>
            </w:r>
            <w:r>
              <w:rPr>
                <w:rFonts w:ascii="Times New Roman" w:eastAsia="Times New Roman"/>
                <w:sz w:val="24"/>
              </w:rPr>
              <w:t>25 </w:t>
            </w:r>
            <w:r>
              <w:rPr>
                <w:sz w:val="24"/>
              </w:rPr>
              <w:t>日</w:t>
            </w:r>
          </w:p>
        </w:tc>
      </w:tr>
      <w:tr>
        <w:trPr>
          <w:trHeight w:val="568" w:hRule="atLeast"/>
        </w:trPr>
        <w:tc>
          <w:tcPr>
            <w:tcW w:w="1558" w:type="dxa"/>
            <w:gridSpan w:val="2"/>
          </w:tcPr>
          <w:p>
            <w:pPr>
              <w:pStyle w:val="TableParagraph"/>
              <w:spacing w:before="117"/>
              <w:ind w:left="417"/>
              <w:rPr>
                <w:sz w:val="24"/>
              </w:rPr>
            </w:pPr>
            <w:r>
              <w:rPr>
                <w:sz w:val="24"/>
              </w:rPr>
              <w:t>批准人</w:t>
            </w:r>
          </w:p>
        </w:tc>
        <w:tc>
          <w:tcPr>
            <w:tcW w:w="3124" w:type="dxa"/>
            <w:gridSpan w:val="2"/>
          </w:tcPr>
          <w:p>
            <w:pPr>
              <w:pStyle w:val="TableParagraph"/>
              <w:spacing w:before="117"/>
              <w:ind w:left="1181" w:right="1172"/>
              <w:jc w:val="center"/>
              <w:rPr>
                <w:sz w:val="24"/>
              </w:rPr>
            </w:pPr>
            <w:r>
              <w:rPr>
                <w:sz w:val="24"/>
              </w:rPr>
              <w:t>于敏</w:t>
            </w:r>
          </w:p>
        </w:tc>
        <w:tc>
          <w:tcPr>
            <w:tcW w:w="1707" w:type="dxa"/>
            <w:gridSpan w:val="2"/>
          </w:tcPr>
          <w:p>
            <w:pPr>
              <w:pStyle w:val="TableParagraph"/>
              <w:spacing w:before="117"/>
              <w:ind w:left="592" w:right="585"/>
              <w:jc w:val="center"/>
              <w:rPr>
                <w:sz w:val="24"/>
              </w:rPr>
            </w:pPr>
            <w:r>
              <w:rPr>
                <w:sz w:val="24"/>
              </w:rPr>
              <w:t>日期</w:t>
            </w:r>
          </w:p>
        </w:tc>
        <w:tc>
          <w:tcPr>
            <w:tcW w:w="2783" w:type="dxa"/>
          </w:tcPr>
          <w:p>
            <w:pPr>
              <w:pStyle w:val="TableParagraph"/>
              <w:spacing w:before="117"/>
              <w:ind w:left="382" w:right="370"/>
              <w:jc w:val="center"/>
              <w:rPr>
                <w:sz w:val="24"/>
              </w:rPr>
            </w:pPr>
            <w:r>
              <w:rPr>
                <w:rFonts w:ascii="Times New Roman" w:eastAsia="Times New Roman"/>
                <w:sz w:val="24"/>
              </w:rPr>
              <w:t>2022 </w:t>
            </w:r>
            <w:r>
              <w:rPr>
                <w:sz w:val="24"/>
              </w:rPr>
              <w:t>年 </w:t>
            </w:r>
            <w:r>
              <w:rPr>
                <w:rFonts w:ascii="Times New Roman" w:eastAsia="Times New Roman"/>
                <w:sz w:val="24"/>
              </w:rPr>
              <w:t>3 </w:t>
            </w:r>
            <w:r>
              <w:rPr>
                <w:sz w:val="24"/>
              </w:rPr>
              <w:t>月 </w:t>
            </w:r>
            <w:r>
              <w:rPr>
                <w:rFonts w:ascii="Times New Roman" w:eastAsia="Times New Roman"/>
                <w:sz w:val="24"/>
              </w:rPr>
              <w:t>25 </w:t>
            </w:r>
            <w:r>
              <w:rPr>
                <w:sz w:val="24"/>
              </w:rPr>
              <w:t>日</w:t>
            </w:r>
          </w:p>
        </w:tc>
      </w:tr>
    </w:tbl>
    <w:p>
      <w:pPr>
        <w:spacing w:after="0"/>
        <w:jc w:val="center"/>
        <w:rPr>
          <w:sz w:val="24"/>
        </w:rPr>
        <w:sectPr>
          <w:pgSz w:w="11910" w:h="16840"/>
          <w:pgMar w:top="1380" w:bottom="280" w:left="1260" w:right="1240"/>
        </w:sectPr>
      </w:pPr>
    </w:p>
    <w:p>
      <w:pPr>
        <w:tabs>
          <w:tab w:pos="803" w:val="left" w:leader="none"/>
        </w:tabs>
        <w:spacing w:line="618" w:lineRule="exact" w:before="0"/>
        <w:ind w:left="0" w:right="20" w:firstLine="0"/>
        <w:jc w:val="center"/>
        <w:rPr>
          <w:rFonts w:ascii="Microsoft JhengHei" w:eastAsia="Microsoft JhengHei" w:hint="eastAsia"/>
          <w:b/>
          <w:sz w:val="40"/>
        </w:rPr>
      </w:pPr>
      <w:r>
        <w:rPr>
          <w:rFonts w:ascii="Microsoft JhengHei" w:eastAsia="Microsoft JhengHei" w:hint="eastAsia"/>
          <w:b/>
          <w:sz w:val="40"/>
        </w:rPr>
        <w:t>目</w:t>
        <w:tab/>
        <w:t>录</w:t>
      </w:r>
    </w:p>
    <w:p>
      <w:pPr>
        <w:spacing w:after="0" w:line="618" w:lineRule="exact"/>
        <w:jc w:val="center"/>
        <w:rPr>
          <w:rFonts w:ascii="Microsoft JhengHei" w:eastAsia="Microsoft JhengHei" w:hint="eastAsia"/>
          <w:sz w:val="40"/>
        </w:rPr>
        <w:sectPr>
          <w:footerReference w:type="default" r:id="rId6"/>
          <w:pgSz w:w="11910" w:h="16840"/>
          <w:pgMar w:footer="977" w:header="0" w:top="1400" w:bottom="1903" w:left="1260" w:right="1240"/>
          <w:pgNumType w:start="1"/>
        </w:sectPr>
      </w:pPr>
    </w:p>
    <w:sdt>
      <w:sdtPr>
        <w:docPartObj>
          <w:docPartGallery w:val="Table of Contents"/>
          <w:docPartUnique/>
        </w:docPartObj>
      </w:sdtPr>
      <w:sdtEndPr/>
      <w:sdtContent>
        <w:p>
          <w:pPr>
            <w:pStyle w:val="TOC1"/>
            <w:numPr>
              <w:ilvl w:val="0"/>
              <w:numId w:val="1"/>
            </w:numPr>
            <w:tabs>
              <w:tab w:pos="855" w:val="left" w:leader="none"/>
              <w:tab w:pos="8838" w:val="right" w:leader="dot"/>
            </w:tabs>
            <w:spacing w:line="351" w:lineRule="exact" w:before="0" w:after="0"/>
            <w:ind w:left="854" w:right="0" w:hanging="210"/>
            <w:jc w:val="left"/>
            <w:rPr>
              <w:rFonts w:ascii="Times New Roman" w:eastAsia="Times New Roman"/>
            </w:rPr>
          </w:pPr>
          <w:hyperlink w:history="true" w:anchor="_bookmark0">
            <w:r>
              <w:rPr/>
              <w:t>概述</w:t>
              <w:tab/>
            </w:r>
            <w:r>
              <w:rPr>
                <w:rFonts w:ascii="Times New Roman" w:eastAsia="Times New Roman"/>
              </w:rPr>
              <w:t>1</w:t>
            </w:r>
          </w:hyperlink>
        </w:p>
        <w:p>
          <w:pPr>
            <w:pStyle w:val="TOC1"/>
            <w:numPr>
              <w:ilvl w:val="1"/>
              <w:numId w:val="1"/>
            </w:numPr>
            <w:tabs>
              <w:tab w:pos="1066" w:val="left" w:leader="none"/>
              <w:tab w:pos="8838" w:val="right" w:leader="dot"/>
            </w:tabs>
            <w:spacing w:line="240" w:lineRule="auto" w:before="186" w:after="0"/>
            <w:ind w:left="1065" w:right="0" w:hanging="421"/>
            <w:jc w:val="left"/>
            <w:rPr>
              <w:rFonts w:ascii="Times New Roman" w:eastAsia="Times New Roman"/>
            </w:rPr>
          </w:pPr>
          <w:hyperlink w:history="true" w:anchor="_bookmark1">
            <w:r>
              <w:rPr/>
              <w:t>核查目的</w:t>
              <w:tab/>
            </w:r>
            <w:r>
              <w:rPr>
                <w:rFonts w:ascii="Times New Roman" w:eastAsia="Times New Roman"/>
              </w:rPr>
              <w:t>1</w:t>
            </w:r>
          </w:hyperlink>
        </w:p>
        <w:p>
          <w:pPr>
            <w:pStyle w:val="TOC1"/>
            <w:numPr>
              <w:ilvl w:val="1"/>
              <w:numId w:val="1"/>
            </w:numPr>
            <w:tabs>
              <w:tab w:pos="1066" w:val="left" w:leader="none"/>
              <w:tab w:pos="8838" w:val="right" w:leader="dot"/>
            </w:tabs>
            <w:spacing w:line="240" w:lineRule="auto" w:before="186" w:after="0"/>
            <w:ind w:left="1065" w:right="0" w:hanging="421"/>
            <w:jc w:val="left"/>
            <w:rPr>
              <w:rFonts w:ascii="Times New Roman" w:eastAsia="Times New Roman"/>
            </w:rPr>
          </w:pPr>
          <w:hyperlink w:history="true" w:anchor="_bookmark2">
            <w:r>
              <w:rPr/>
              <w:t>核查范围</w:t>
              <w:tab/>
            </w:r>
            <w:r>
              <w:rPr>
                <w:rFonts w:ascii="Times New Roman" w:eastAsia="Times New Roman"/>
              </w:rPr>
              <w:t>1</w:t>
            </w:r>
          </w:hyperlink>
        </w:p>
        <w:p>
          <w:pPr>
            <w:pStyle w:val="TOC1"/>
            <w:numPr>
              <w:ilvl w:val="1"/>
              <w:numId w:val="1"/>
            </w:numPr>
            <w:tabs>
              <w:tab w:pos="1066" w:val="left" w:leader="none"/>
              <w:tab w:pos="8838" w:val="right" w:leader="dot"/>
            </w:tabs>
            <w:spacing w:line="240" w:lineRule="auto" w:before="186" w:after="0"/>
            <w:ind w:left="1065" w:right="0" w:hanging="421"/>
            <w:jc w:val="left"/>
            <w:rPr>
              <w:rFonts w:ascii="Times New Roman" w:eastAsia="Times New Roman"/>
            </w:rPr>
          </w:pPr>
          <w:hyperlink w:history="true" w:anchor="_bookmark3">
            <w:r>
              <w:rPr/>
              <w:t>核查准则</w:t>
              <w:tab/>
            </w:r>
            <w:r>
              <w:rPr>
                <w:rFonts w:ascii="Times New Roman" w:eastAsia="Times New Roman"/>
              </w:rPr>
              <w:t>1</w:t>
            </w:r>
          </w:hyperlink>
        </w:p>
        <w:p>
          <w:pPr>
            <w:pStyle w:val="TOC1"/>
            <w:numPr>
              <w:ilvl w:val="0"/>
              <w:numId w:val="1"/>
            </w:numPr>
            <w:tabs>
              <w:tab w:pos="855" w:val="left" w:leader="none"/>
              <w:tab w:pos="8838" w:val="right" w:leader="dot"/>
            </w:tabs>
            <w:spacing w:line="240" w:lineRule="auto" w:before="186" w:after="0"/>
            <w:ind w:left="854" w:right="0" w:hanging="210"/>
            <w:jc w:val="left"/>
            <w:rPr>
              <w:rFonts w:ascii="Times New Roman" w:eastAsia="Times New Roman"/>
            </w:rPr>
          </w:pPr>
          <w:hyperlink w:history="true" w:anchor="_bookmark4">
            <w:r>
              <w:rPr/>
              <w:t>核查过程和</w:t>
            </w:r>
            <w:r>
              <w:rPr>
                <w:spacing w:val="-3"/>
              </w:rPr>
              <w:t>方</w:t>
            </w:r>
            <w:r>
              <w:rPr/>
              <w:t>法</w:t>
              <w:tab/>
            </w:r>
            <w:r>
              <w:rPr>
                <w:rFonts w:ascii="Times New Roman" w:eastAsia="Times New Roman"/>
              </w:rPr>
              <w:t>2</w:t>
            </w:r>
          </w:hyperlink>
        </w:p>
        <w:p>
          <w:pPr>
            <w:pStyle w:val="TOC1"/>
            <w:numPr>
              <w:ilvl w:val="1"/>
              <w:numId w:val="1"/>
            </w:numPr>
            <w:tabs>
              <w:tab w:pos="1067" w:val="left" w:leader="none"/>
              <w:tab w:pos="8838" w:val="right" w:leader="dot"/>
            </w:tabs>
            <w:spacing w:line="240" w:lineRule="auto" w:before="186" w:after="0"/>
            <w:ind w:left="1066" w:right="0" w:hanging="421"/>
            <w:jc w:val="left"/>
            <w:rPr>
              <w:rFonts w:ascii="Times New Roman" w:eastAsia="Times New Roman"/>
            </w:rPr>
          </w:pPr>
          <w:hyperlink w:history="true" w:anchor="_bookmark5">
            <w:r>
              <w:rPr/>
              <w:t>核查组</w:t>
            </w:r>
            <w:r>
              <w:rPr>
                <w:spacing w:val="-3"/>
              </w:rPr>
              <w:t>安</w:t>
            </w:r>
            <w:r>
              <w:rPr/>
              <w:t>排</w:t>
              <w:tab/>
            </w:r>
            <w:r>
              <w:rPr>
                <w:rFonts w:ascii="Times New Roman" w:eastAsia="Times New Roman"/>
              </w:rPr>
              <w:t>2</w:t>
            </w:r>
          </w:hyperlink>
        </w:p>
        <w:p>
          <w:pPr>
            <w:pStyle w:val="TOC1"/>
            <w:numPr>
              <w:ilvl w:val="2"/>
              <w:numId w:val="1"/>
            </w:numPr>
            <w:tabs>
              <w:tab w:pos="1278" w:val="left" w:leader="none"/>
              <w:tab w:pos="8838" w:val="right" w:leader="dot"/>
            </w:tabs>
            <w:spacing w:line="240" w:lineRule="auto" w:before="186" w:after="0"/>
            <w:ind w:left="1277" w:right="0" w:hanging="632"/>
            <w:jc w:val="left"/>
            <w:rPr>
              <w:rFonts w:ascii="Times New Roman" w:eastAsia="Times New Roman"/>
            </w:rPr>
          </w:pPr>
          <w:hyperlink w:history="true" w:anchor="_bookmark6">
            <w:r>
              <w:rPr/>
              <w:t>核查</w:t>
            </w:r>
            <w:r>
              <w:rPr>
                <w:spacing w:val="-3"/>
              </w:rPr>
              <w:t>机</w:t>
            </w:r>
            <w:r>
              <w:rPr/>
              <w:t>构及</w:t>
            </w:r>
            <w:r>
              <w:rPr>
                <w:spacing w:val="-3"/>
              </w:rPr>
              <w:t>人</w:t>
            </w:r>
            <w:r>
              <w:rPr/>
              <w:t>员</w:t>
              <w:tab/>
            </w:r>
            <w:r>
              <w:rPr>
                <w:rFonts w:ascii="Times New Roman" w:eastAsia="Times New Roman"/>
              </w:rPr>
              <w:t>2</w:t>
            </w:r>
          </w:hyperlink>
        </w:p>
        <w:p>
          <w:pPr>
            <w:pStyle w:val="TOC1"/>
            <w:numPr>
              <w:ilvl w:val="2"/>
              <w:numId w:val="1"/>
            </w:numPr>
            <w:tabs>
              <w:tab w:pos="1278" w:val="left" w:leader="none"/>
              <w:tab w:pos="8838" w:val="right" w:leader="dot"/>
            </w:tabs>
            <w:spacing w:line="240" w:lineRule="auto" w:before="186" w:after="0"/>
            <w:ind w:left="1277" w:right="0" w:hanging="632"/>
            <w:jc w:val="left"/>
            <w:rPr>
              <w:rFonts w:ascii="Times New Roman" w:eastAsia="Times New Roman"/>
            </w:rPr>
          </w:pPr>
          <w:hyperlink w:history="true" w:anchor="_bookmark7">
            <w:r>
              <w:rPr/>
              <w:t>核查</w:t>
            </w:r>
            <w:r>
              <w:rPr>
                <w:spacing w:val="-3"/>
              </w:rPr>
              <w:t>时</w:t>
            </w:r>
            <w:r>
              <w:rPr/>
              <w:t>间安排</w:t>
              <w:tab/>
            </w:r>
            <w:r>
              <w:rPr>
                <w:rFonts w:ascii="Times New Roman" w:eastAsia="Times New Roman"/>
              </w:rPr>
              <w:t>3</w:t>
            </w:r>
          </w:hyperlink>
        </w:p>
        <w:p>
          <w:pPr>
            <w:pStyle w:val="TOC1"/>
            <w:numPr>
              <w:ilvl w:val="1"/>
              <w:numId w:val="1"/>
            </w:numPr>
            <w:tabs>
              <w:tab w:pos="1067" w:val="left" w:leader="none"/>
              <w:tab w:pos="8838" w:val="right" w:leader="dot"/>
            </w:tabs>
            <w:spacing w:line="240" w:lineRule="auto" w:before="183" w:after="0"/>
            <w:ind w:left="1066" w:right="0" w:hanging="421"/>
            <w:jc w:val="left"/>
            <w:rPr>
              <w:rFonts w:ascii="Times New Roman" w:eastAsia="Times New Roman"/>
            </w:rPr>
          </w:pPr>
          <w:hyperlink w:history="true" w:anchor="_bookmark8">
            <w:r>
              <w:rPr/>
              <w:t>文件评审</w:t>
              <w:tab/>
            </w:r>
            <w:r>
              <w:rPr>
                <w:rFonts w:ascii="Times New Roman" w:eastAsia="Times New Roman"/>
              </w:rPr>
              <w:t>3</w:t>
            </w:r>
          </w:hyperlink>
        </w:p>
        <w:p>
          <w:pPr>
            <w:pStyle w:val="TOC1"/>
            <w:numPr>
              <w:ilvl w:val="1"/>
              <w:numId w:val="1"/>
            </w:numPr>
            <w:tabs>
              <w:tab w:pos="1067" w:val="left" w:leader="none"/>
              <w:tab w:pos="8838" w:val="right" w:leader="dot"/>
            </w:tabs>
            <w:spacing w:line="240" w:lineRule="auto" w:before="186" w:after="0"/>
            <w:ind w:left="1066" w:right="0" w:hanging="421"/>
            <w:jc w:val="left"/>
            <w:rPr>
              <w:rFonts w:ascii="Times New Roman" w:eastAsia="Times New Roman"/>
            </w:rPr>
          </w:pPr>
          <w:hyperlink w:history="true" w:anchor="_bookmark9">
            <w:r>
              <w:rPr/>
              <w:t>现场核查</w:t>
              <w:tab/>
            </w:r>
            <w:r>
              <w:rPr>
                <w:rFonts w:ascii="Times New Roman" w:eastAsia="Times New Roman"/>
              </w:rPr>
              <w:t>3</w:t>
            </w:r>
          </w:hyperlink>
        </w:p>
        <w:p>
          <w:pPr>
            <w:pStyle w:val="TOC1"/>
            <w:numPr>
              <w:ilvl w:val="1"/>
              <w:numId w:val="1"/>
            </w:numPr>
            <w:tabs>
              <w:tab w:pos="1067" w:val="left" w:leader="none"/>
              <w:tab w:pos="8838" w:val="right" w:leader="dot"/>
            </w:tabs>
            <w:spacing w:line="240" w:lineRule="auto" w:before="186" w:after="0"/>
            <w:ind w:left="1066" w:right="0" w:hanging="421"/>
            <w:jc w:val="left"/>
            <w:rPr>
              <w:rFonts w:ascii="Times New Roman" w:eastAsia="Times New Roman"/>
            </w:rPr>
          </w:pPr>
          <w:hyperlink w:history="true" w:anchor="_bookmark10">
            <w:r>
              <w:rPr/>
              <w:t>核查报</w:t>
            </w:r>
            <w:r>
              <w:rPr>
                <w:spacing w:val="-3"/>
              </w:rPr>
              <w:t>告</w:t>
            </w:r>
            <w:r>
              <w:rPr/>
              <w:t>编写</w:t>
            </w:r>
            <w:r>
              <w:rPr>
                <w:spacing w:val="-3"/>
              </w:rPr>
              <w:t>及</w:t>
            </w:r>
            <w:r>
              <w:rPr/>
              <w:t>内部技</w:t>
            </w:r>
            <w:r>
              <w:rPr>
                <w:spacing w:val="-3"/>
              </w:rPr>
              <w:t>术</w:t>
            </w:r>
            <w:r>
              <w:rPr/>
              <w:t>评审</w:t>
              <w:tab/>
            </w:r>
            <w:r>
              <w:rPr>
                <w:rFonts w:ascii="Times New Roman" w:eastAsia="Times New Roman"/>
              </w:rPr>
              <w:t>4</w:t>
            </w:r>
          </w:hyperlink>
        </w:p>
        <w:p>
          <w:pPr>
            <w:pStyle w:val="TOC1"/>
            <w:numPr>
              <w:ilvl w:val="0"/>
              <w:numId w:val="1"/>
            </w:numPr>
            <w:tabs>
              <w:tab w:pos="856" w:val="left" w:leader="none"/>
              <w:tab w:pos="8838" w:val="right" w:leader="dot"/>
            </w:tabs>
            <w:spacing w:line="240" w:lineRule="auto" w:before="186" w:after="0"/>
            <w:ind w:left="855" w:right="0" w:hanging="210"/>
            <w:jc w:val="left"/>
            <w:rPr>
              <w:rFonts w:ascii="Times New Roman" w:eastAsia="Times New Roman"/>
            </w:rPr>
          </w:pPr>
          <w:hyperlink w:history="true" w:anchor="_bookmark11">
            <w:r>
              <w:rPr/>
              <w:t>核查发现</w:t>
              <w:tab/>
            </w:r>
            <w:r>
              <w:rPr>
                <w:rFonts w:ascii="Times New Roman" w:eastAsia="Times New Roman"/>
              </w:rPr>
              <w:t>5</w:t>
            </w:r>
          </w:hyperlink>
        </w:p>
        <w:p>
          <w:pPr>
            <w:pStyle w:val="TOC1"/>
            <w:numPr>
              <w:ilvl w:val="1"/>
              <w:numId w:val="1"/>
            </w:numPr>
            <w:tabs>
              <w:tab w:pos="1067" w:val="left" w:leader="none"/>
              <w:tab w:pos="8838" w:val="right" w:leader="dot"/>
            </w:tabs>
            <w:spacing w:line="240" w:lineRule="auto" w:before="186" w:after="0"/>
            <w:ind w:left="1066" w:right="0" w:hanging="421"/>
            <w:jc w:val="left"/>
            <w:rPr>
              <w:rFonts w:ascii="Times New Roman" w:eastAsia="Times New Roman"/>
            </w:rPr>
          </w:pPr>
          <w:hyperlink w:history="true" w:anchor="_bookmark12">
            <w:r>
              <w:rPr/>
              <w:t>排放单</w:t>
            </w:r>
            <w:r>
              <w:rPr>
                <w:spacing w:val="-3"/>
              </w:rPr>
              <w:t>位</w:t>
            </w:r>
            <w:r>
              <w:rPr/>
              <w:t>基本</w:t>
            </w:r>
            <w:r>
              <w:rPr>
                <w:spacing w:val="-3"/>
              </w:rPr>
              <w:t>情</w:t>
            </w:r>
            <w:r>
              <w:rPr/>
              <w:t>况的核查</w:t>
              <w:tab/>
            </w:r>
            <w:r>
              <w:rPr>
                <w:rFonts w:ascii="Times New Roman" w:eastAsia="Times New Roman"/>
              </w:rPr>
              <w:t>5</w:t>
            </w:r>
          </w:hyperlink>
        </w:p>
        <w:p>
          <w:pPr>
            <w:pStyle w:val="TOC1"/>
            <w:numPr>
              <w:ilvl w:val="2"/>
              <w:numId w:val="1"/>
            </w:numPr>
            <w:tabs>
              <w:tab w:pos="1278" w:val="left" w:leader="none"/>
              <w:tab w:pos="8839" w:val="right" w:leader="dot"/>
            </w:tabs>
            <w:spacing w:line="240" w:lineRule="auto" w:before="186" w:after="0"/>
            <w:ind w:left="1277" w:right="0" w:hanging="632"/>
            <w:jc w:val="left"/>
            <w:rPr>
              <w:rFonts w:ascii="Times New Roman" w:eastAsia="Times New Roman"/>
            </w:rPr>
          </w:pPr>
          <w:hyperlink w:history="true" w:anchor="_bookmark13">
            <w:r>
              <w:rPr/>
              <w:t>排放</w:t>
            </w:r>
            <w:r>
              <w:rPr>
                <w:spacing w:val="-3"/>
              </w:rPr>
              <w:t>单</w:t>
            </w:r>
            <w:r>
              <w:rPr/>
              <w:t>位简</w:t>
            </w:r>
            <w:r>
              <w:rPr>
                <w:spacing w:val="-3"/>
              </w:rPr>
              <w:t>介</w:t>
            </w:r>
            <w:r>
              <w:rPr/>
              <w:t>及组织</w:t>
            </w:r>
            <w:r>
              <w:rPr>
                <w:spacing w:val="-3"/>
              </w:rPr>
              <w:t>机</w:t>
            </w:r>
            <w:r>
              <w:rPr/>
              <w:t>构</w:t>
              <w:tab/>
            </w:r>
            <w:r>
              <w:rPr>
                <w:rFonts w:ascii="Times New Roman" w:eastAsia="Times New Roman"/>
              </w:rPr>
              <w:t>5</w:t>
            </w:r>
          </w:hyperlink>
        </w:p>
        <w:p>
          <w:pPr>
            <w:pStyle w:val="TOC1"/>
            <w:numPr>
              <w:ilvl w:val="2"/>
              <w:numId w:val="1"/>
            </w:numPr>
            <w:tabs>
              <w:tab w:pos="1279" w:val="left" w:leader="none"/>
              <w:tab w:pos="8839" w:val="right" w:leader="dot"/>
            </w:tabs>
            <w:spacing w:line="240" w:lineRule="auto" w:before="186" w:after="0"/>
            <w:ind w:left="1278" w:right="0" w:hanging="632"/>
            <w:jc w:val="left"/>
            <w:rPr>
              <w:rFonts w:ascii="Times New Roman" w:eastAsia="Times New Roman"/>
            </w:rPr>
          </w:pPr>
          <w:hyperlink w:history="true" w:anchor="_bookmark14">
            <w:r>
              <w:rPr/>
              <w:t>产品</w:t>
            </w:r>
            <w:r>
              <w:rPr>
                <w:spacing w:val="-3"/>
              </w:rPr>
              <w:t>服</w:t>
            </w:r>
            <w:r>
              <w:rPr/>
              <w:t>务及</w:t>
            </w:r>
            <w:r>
              <w:rPr>
                <w:spacing w:val="-3"/>
              </w:rPr>
              <w:t>生</w:t>
            </w:r>
            <w:r>
              <w:rPr/>
              <w:t>产工艺</w:t>
              <w:tab/>
            </w:r>
            <w:r>
              <w:rPr>
                <w:rFonts w:ascii="Times New Roman" w:eastAsia="Times New Roman"/>
              </w:rPr>
              <w:t>5</w:t>
            </w:r>
          </w:hyperlink>
        </w:p>
        <w:p>
          <w:pPr>
            <w:pStyle w:val="TOC1"/>
            <w:numPr>
              <w:ilvl w:val="2"/>
              <w:numId w:val="1"/>
            </w:numPr>
            <w:tabs>
              <w:tab w:pos="1279" w:val="left" w:leader="none"/>
              <w:tab w:pos="8839" w:val="right" w:leader="dot"/>
            </w:tabs>
            <w:spacing w:line="240" w:lineRule="auto" w:before="186" w:after="0"/>
            <w:ind w:left="1278" w:right="0" w:hanging="632"/>
            <w:jc w:val="left"/>
            <w:rPr>
              <w:rFonts w:ascii="Times New Roman" w:eastAsia="Times New Roman"/>
            </w:rPr>
          </w:pPr>
          <w:r>
            <w:rPr/>
            <w:t>能源</w:t>
          </w:r>
          <w:r>
            <w:rPr>
              <w:spacing w:val="-3"/>
            </w:rPr>
            <w:t>统</w:t>
          </w:r>
          <w:r>
            <w:rPr/>
            <w:t>计及</w:t>
          </w:r>
          <w:r>
            <w:rPr>
              <w:spacing w:val="-3"/>
            </w:rPr>
            <w:t>计</w:t>
          </w:r>
          <w:r>
            <w:rPr/>
            <w:t>量情况</w:t>
            <w:tab/>
          </w:r>
          <w:r>
            <w:rPr>
              <w:rFonts w:ascii="Times New Roman" w:eastAsia="Times New Roman"/>
            </w:rPr>
            <w:t>6</w:t>
          </w:r>
        </w:p>
        <w:p>
          <w:pPr>
            <w:pStyle w:val="TOC1"/>
            <w:numPr>
              <w:ilvl w:val="1"/>
              <w:numId w:val="1"/>
            </w:numPr>
            <w:tabs>
              <w:tab w:pos="1068" w:val="left" w:leader="none"/>
              <w:tab w:pos="8839" w:val="right" w:leader="dot"/>
            </w:tabs>
            <w:spacing w:line="240" w:lineRule="auto" w:before="186" w:after="0"/>
            <w:ind w:left="1067" w:right="0" w:hanging="421"/>
            <w:jc w:val="left"/>
            <w:rPr>
              <w:rFonts w:ascii="Times New Roman" w:eastAsia="Times New Roman"/>
            </w:rPr>
          </w:pPr>
          <w:r>
            <w:rPr/>
            <w:t>核算边</w:t>
          </w:r>
          <w:r>
            <w:rPr>
              <w:spacing w:val="-3"/>
            </w:rPr>
            <w:t>界</w:t>
          </w:r>
          <w:r>
            <w:rPr/>
            <w:t>的核查</w:t>
            <w:tab/>
          </w:r>
          <w:r>
            <w:rPr>
              <w:rFonts w:ascii="Times New Roman" w:eastAsia="Times New Roman"/>
            </w:rPr>
            <w:t>8</w:t>
          </w:r>
        </w:p>
        <w:p>
          <w:pPr>
            <w:pStyle w:val="TOC1"/>
            <w:numPr>
              <w:ilvl w:val="1"/>
              <w:numId w:val="1"/>
            </w:numPr>
            <w:tabs>
              <w:tab w:pos="1068" w:val="left" w:leader="none"/>
              <w:tab w:pos="8839" w:val="right" w:leader="dot"/>
            </w:tabs>
            <w:spacing w:line="240" w:lineRule="auto" w:before="186" w:after="0"/>
            <w:ind w:left="1067" w:right="0" w:hanging="421"/>
            <w:jc w:val="left"/>
            <w:rPr>
              <w:rFonts w:ascii="Times New Roman" w:eastAsia="Times New Roman"/>
            </w:rPr>
          </w:pPr>
          <w:r>
            <w:rPr/>
            <w:t>核算方</w:t>
          </w:r>
          <w:r>
            <w:rPr>
              <w:spacing w:val="-3"/>
            </w:rPr>
            <w:t>法</w:t>
          </w:r>
          <w:r>
            <w:rPr/>
            <w:t>的核查</w:t>
            <w:tab/>
          </w:r>
          <w:r>
            <w:rPr>
              <w:rFonts w:ascii="Times New Roman" w:eastAsia="Times New Roman"/>
            </w:rPr>
            <w:t>9</w:t>
          </w:r>
        </w:p>
        <w:p>
          <w:pPr>
            <w:pStyle w:val="TOC1"/>
            <w:numPr>
              <w:ilvl w:val="1"/>
              <w:numId w:val="1"/>
            </w:numPr>
            <w:tabs>
              <w:tab w:pos="1068" w:val="left" w:leader="none"/>
              <w:tab w:pos="8840" w:val="right" w:leader="dot"/>
            </w:tabs>
            <w:spacing w:line="240" w:lineRule="auto" w:before="186" w:after="0"/>
            <w:ind w:left="1067" w:right="0" w:hanging="421"/>
            <w:jc w:val="left"/>
            <w:rPr>
              <w:rFonts w:ascii="Times New Roman" w:eastAsia="Times New Roman"/>
            </w:rPr>
          </w:pPr>
          <w:r>
            <w:rPr/>
            <w:t>核算数</w:t>
          </w:r>
          <w:r>
            <w:rPr>
              <w:spacing w:val="-3"/>
            </w:rPr>
            <w:t>据</w:t>
          </w:r>
          <w:r>
            <w:rPr/>
            <w:t>的核查</w:t>
            <w:tab/>
          </w:r>
          <w:r>
            <w:rPr>
              <w:rFonts w:ascii="Times New Roman" w:eastAsia="Times New Roman"/>
            </w:rPr>
            <w:t>9</w:t>
          </w:r>
        </w:p>
        <w:p>
          <w:pPr>
            <w:pStyle w:val="TOC1"/>
            <w:numPr>
              <w:ilvl w:val="2"/>
              <w:numId w:val="1"/>
            </w:numPr>
            <w:tabs>
              <w:tab w:pos="1280" w:val="left" w:leader="none"/>
              <w:tab w:pos="8840" w:val="right" w:leader="dot"/>
            </w:tabs>
            <w:spacing w:line="240" w:lineRule="auto" w:before="186" w:after="0"/>
            <w:ind w:left="1279" w:right="0" w:hanging="633"/>
            <w:jc w:val="left"/>
            <w:rPr>
              <w:rFonts w:ascii="Times New Roman" w:eastAsia="Times New Roman"/>
            </w:rPr>
          </w:pPr>
          <w:r>
            <w:rPr/>
            <w:t>单元</w:t>
          </w:r>
          <w:r>
            <w:rPr>
              <w:spacing w:val="-3"/>
            </w:rPr>
            <w:t>活</w:t>
          </w:r>
          <w:r>
            <w:rPr/>
            <w:t>动水</w:t>
          </w:r>
          <w:r>
            <w:rPr>
              <w:spacing w:val="-3"/>
            </w:rPr>
            <w:t>平</w:t>
          </w:r>
          <w:r>
            <w:rPr/>
            <w:t>数据及</w:t>
          </w:r>
          <w:r>
            <w:rPr>
              <w:spacing w:val="-3"/>
            </w:rPr>
            <w:t>来</w:t>
          </w:r>
          <w:r>
            <w:rPr/>
            <w:t>源的</w:t>
          </w:r>
          <w:r>
            <w:rPr>
              <w:spacing w:val="-3"/>
            </w:rPr>
            <w:t>核</w:t>
          </w:r>
          <w:r>
            <w:rPr/>
            <w:t>查</w:t>
            <w:tab/>
          </w:r>
          <w:r>
            <w:rPr>
              <w:rFonts w:ascii="Times New Roman" w:eastAsia="Times New Roman"/>
            </w:rPr>
            <w:t>9</w:t>
          </w:r>
        </w:p>
        <w:p>
          <w:pPr>
            <w:pStyle w:val="TOC1"/>
            <w:numPr>
              <w:ilvl w:val="3"/>
              <w:numId w:val="1"/>
            </w:numPr>
            <w:tabs>
              <w:tab w:pos="1488" w:val="left" w:leader="none"/>
              <w:tab w:pos="8840" w:val="right" w:leader="dot"/>
            </w:tabs>
            <w:spacing w:line="240" w:lineRule="auto" w:before="186" w:after="0"/>
            <w:ind w:left="1487" w:right="0" w:hanging="841"/>
            <w:jc w:val="left"/>
            <w:rPr>
              <w:rFonts w:ascii="Times New Roman" w:eastAsia="Times New Roman"/>
            </w:rPr>
          </w:pPr>
          <w:r>
            <w:rPr/>
            <w:t>化石燃</w:t>
          </w:r>
          <w:r>
            <w:rPr>
              <w:spacing w:val="-3"/>
            </w:rPr>
            <w:t>料燃</w:t>
          </w:r>
          <w:r>
            <w:rPr/>
            <w:t>烧活动</w:t>
          </w:r>
          <w:r>
            <w:rPr>
              <w:spacing w:val="-3"/>
            </w:rPr>
            <w:t>水</w:t>
          </w:r>
          <w:r>
            <w:rPr/>
            <w:t>平数</w:t>
          </w:r>
          <w:r>
            <w:rPr>
              <w:spacing w:val="-3"/>
            </w:rPr>
            <w:t>据核</w:t>
          </w:r>
          <w:r>
            <w:rPr/>
            <w:t>查</w:t>
            <w:tab/>
          </w:r>
          <w:r>
            <w:rPr>
              <w:rFonts w:ascii="Times New Roman" w:eastAsia="Times New Roman"/>
            </w:rPr>
            <w:t>9</w:t>
          </w:r>
        </w:p>
        <w:p>
          <w:pPr>
            <w:pStyle w:val="TOC1"/>
            <w:numPr>
              <w:ilvl w:val="3"/>
              <w:numId w:val="1"/>
            </w:numPr>
            <w:tabs>
              <w:tab w:pos="1488" w:val="left" w:leader="none"/>
              <w:tab w:pos="8839" w:val="right" w:leader="dot"/>
            </w:tabs>
            <w:spacing w:line="240" w:lineRule="auto" w:before="186" w:after="0"/>
            <w:ind w:left="1487" w:right="0" w:hanging="841"/>
            <w:jc w:val="left"/>
            <w:rPr>
              <w:rFonts w:ascii="Times New Roman" w:eastAsia="Times New Roman"/>
            </w:rPr>
          </w:pPr>
          <w:r>
            <w:rPr/>
            <w:t>净购入</w:t>
          </w:r>
          <w:r>
            <w:rPr>
              <w:spacing w:val="-3"/>
            </w:rPr>
            <w:t>使用</w:t>
          </w:r>
          <w:r>
            <w:rPr/>
            <w:t>电力和</w:t>
          </w:r>
          <w:r>
            <w:rPr>
              <w:spacing w:val="-3"/>
            </w:rPr>
            <w:t>热</w:t>
          </w:r>
          <w:r>
            <w:rPr/>
            <w:t>力活</w:t>
          </w:r>
          <w:r>
            <w:rPr>
              <w:spacing w:val="-3"/>
            </w:rPr>
            <w:t>动水</w:t>
          </w:r>
          <w:r>
            <w:rPr/>
            <w:t>平数据</w:t>
          </w:r>
          <w:r>
            <w:rPr>
              <w:spacing w:val="-3"/>
            </w:rPr>
            <w:t>核</w:t>
          </w:r>
          <w:r>
            <w:rPr/>
            <w:t>查</w:t>
            <w:tab/>
          </w:r>
          <w:r>
            <w:rPr>
              <w:rFonts w:ascii="Times New Roman" w:eastAsia="Times New Roman"/>
              <w:spacing w:val="-6"/>
            </w:rPr>
            <w:t>11</w:t>
          </w:r>
        </w:p>
        <w:p>
          <w:pPr>
            <w:pStyle w:val="TOC1"/>
            <w:numPr>
              <w:ilvl w:val="2"/>
              <w:numId w:val="1"/>
            </w:numPr>
            <w:tabs>
              <w:tab w:pos="1279" w:val="left" w:leader="none"/>
              <w:tab w:pos="8841" w:val="right" w:leader="dot"/>
            </w:tabs>
            <w:spacing w:line="240" w:lineRule="auto" w:before="186" w:after="0"/>
            <w:ind w:left="1278" w:right="0" w:hanging="632"/>
            <w:jc w:val="left"/>
            <w:rPr>
              <w:rFonts w:ascii="Times New Roman" w:eastAsia="Times New Roman"/>
            </w:rPr>
          </w:pPr>
          <w:r>
            <w:rPr/>
            <w:t>排放</w:t>
          </w:r>
          <w:r>
            <w:rPr>
              <w:spacing w:val="-3"/>
            </w:rPr>
            <w:t>因</w:t>
          </w:r>
          <w:r>
            <w:rPr/>
            <w:t>子和</w:t>
          </w:r>
          <w:r>
            <w:rPr>
              <w:spacing w:val="-3"/>
            </w:rPr>
            <w:t>计</w:t>
          </w:r>
          <w:r>
            <w:rPr/>
            <w:t>算系数</w:t>
          </w:r>
          <w:r>
            <w:rPr>
              <w:spacing w:val="-3"/>
            </w:rPr>
            <w:t>数</w:t>
          </w:r>
          <w:r>
            <w:rPr/>
            <w:t>据及</w:t>
          </w:r>
          <w:r>
            <w:rPr>
              <w:spacing w:val="-3"/>
            </w:rPr>
            <w:t>来源</w:t>
          </w:r>
          <w:r>
            <w:rPr/>
            <w:t>的核查</w:t>
            <w:tab/>
          </w:r>
          <w:r>
            <w:rPr>
              <w:rFonts w:ascii="Times New Roman" w:eastAsia="Times New Roman"/>
            </w:rPr>
            <w:t>13</w:t>
          </w:r>
        </w:p>
        <w:p>
          <w:pPr>
            <w:pStyle w:val="TOC1"/>
            <w:numPr>
              <w:ilvl w:val="3"/>
              <w:numId w:val="1"/>
            </w:numPr>
            <w:tabs>
              <w:tab w:pos="1488" w:val="left" w:leader="none"/>
              <w:tab w:pos="8841" w:val="right" w:leader="dot"/>
            </w:tabs>
            <w:spacing w:line="240" w:lineRule="auto" w:before="186" w:after="20"/>
            <w:ind w:left="1487" w:right="0" w:hanging="841"/>
            <w:jc w:val="left"/>
            <w:rPr>
              <w:rFonts w:ascii="Times New Roman" w:eastAsia="Times New Roman"/>
            </w:rPr>
          </w:pPr>
          <w:r>
            <w:rPr/>
            <w:t>化石燃</w:t>
          </w:r>
          <w:r>
            <w:rPr>
              <w:spacing w:val="-3"/>
            </w:rPr>
            <w:t>料燃</w:t>
          </w:r>
          <w:r>
            <w:rPr/>
            <w:t>烧排放</w:t>
          </w:r>
          <w:r>
            <w:rPr>
              <w:spacing w:val="-3"/>
            </w:rPr>
            <w:t>因</w:t>
          </w:r>
          <w:r>
            <w:rPr/>
            <w:t>子数</w:t>
          </w:r>
          <w:r>
            <w:rPr>
              <w:spacing w:val="-3"/>
            </w:rPr>
            <w:t>据的</w:t>
          </w:r>
          <w:r>
            <w:rPr/>
            <w:t>核查</w:t>
            <w:tab/>
          </w:r>
          <w:r>
            <w:rPr>
              <w:rFonts w:ascii="Times New Roman" w:eastAsia="Times New Roman"/>
            </w:rPr>
            <w:t>13</w:t>
          </w:r>
        </w:p>
        <w:p>
          <w:pPr>
            <w:pStyle w:val="TOC1"/>
            <w:numPr>
              <w:ilvl w:val="3"/>
              <w:numId w:val="1"/>
            </w:numPr>
            <w:tabs>
              <w:tab w:pos="1486" w:val="left" w:leader="none"/>
              <w:tab w:pos="8838" w:val="right" w:leader="dot"/>
            </w:tabs>
            <w:spacing w:line="240" w:lineRule="auto" w:before="60" w:after="0"/>
            <w:ind w:left="1485" w:right="0" w:hanging="841"/>
            <w:jc w:val="left"/>
            <w:rPr>
              <w:rFonts w:ascii="Times New Roman" w:eastAsia="Times New Roman"/>
            </w:rPr>
          </w:pPr>
          <w:r>
            <w:rPr/>
            <w:t>净购入</w:t>
          </w:r>
          <w:r>
            <w:rPr>
              <w:spacing w:val="-3"/>
            </w:rPr>
            <w:t>使用</w:t>
          </w:r>
          <w:r>
            <w:rPr/>
            <w:t>电量排</w:t>
          </w:r>
          <w:r>
            <w:rPr>
              <w:spacing w:val="-3"/>
            </w:rPr>
            <w:t>放</w:t>
          </w:r>
          <w:r>
            <w:rPr/>
            <w:t>因子</w:t>
            <w:tab/>
          </w:r>
          <w:r>
            <w:rPr>
              <w:rFonts w:ascii="Times New Roman" w:eastAsia="Times New Roman"/>
            </w:rPr>
            <w:t>13</w:t>
          </w:r>
        </w:p>
        <w:p>
          <w:pPr>
            <w:pStyle w:val="TOC1"/>
            <w:numPr>
              <w:ilvl w:val="2"/>
              <w:numId w:val="2"/>
            </w:numPr>
            <w:tabs>
              <w:tab w:pos="1277" w:val="left" w:leader="none"/>
              <w:tab w:pos="8839" w:val="right" w:leader="dot"/>
            </w:tabs>
            <w:spacing w:line="240" w:lineRule="auto" w:before="186" w:after="0"/>
            <w:ind w:left="1276" w:right="0" w:hanging="632"/>
            <w:jc w:val="left"/>
            <w:rPr>
              <w:rFonts w:ascii="Times New Roman" w:eastAsia="Times New Roman"/>
            </w:rPr>
          </w:pPr>
          <w:r>
            <w:rPr/>
            <w:t>排放</w:t>
          </w:r>
          <w:r>
            <w:rPr>
              <w:spacing w:val="-3"/>
            </w:rPr>
            <w:t>量</w:t>
          </w:r>
          <w:r>
            <w:rPr/>
            <w:t>的核查</w:t>
            <w:tab/>
          </w:r>
          <w:r>
            <w:rPr>
              <w:rFonts w:ascii="Times New Roman" w:eastAsia="Times New Roman"/>
            </w:rPr>
            <w:t>14</w:t>
          </w:r>
        </w:p>
        <w:p>
          <w:pPr>
            <w:pStyle w:val="TOC1"/>
            <w:numPr>
              <w:ilvl w:val="2"/>
              <w:numId w:val="2"/>
            </w:numPr>
            <w:tabs>
              <w:tab w:pos="1278" w:val="left" w:leader="none"/>
              <w:tab w:pos="8839" w:val="right" w:leader="dot"/>
            </w:tabs>
            <w:spacing w:line="240" w:lineRule="auto" w:before="186" w:after="0"/>
            <w:ind w:left="1277" w:right="0" w:hanging="633"/>
            <w:jc w:val="left"/>
            <w:rPr>
              <w:rFonts w:ascii="Times New Roman" w:eastAsia="Times New Roman"/>
            </w:rPr>
          </w:pPr>
          <w:r>
            <w:rPr/>
            <w:t>配额</w:t>
          </w:r>
          <w:r>
            <w:rPr>
              <w:spacing w:val="-3"/>
            </w:rPr>
            <w:t>分</w:t>
          </w:r>
          <w:r>
            <w:rPr/>
            <w:t>配补</w:t>
          </w:r>
          <w:r>
            <w:rPr>
              <w:spacing w:val="-3"/>
            </w:rPr>
            <w:t>充</w:t>
          </w:r>
          <w:r>
            <w:rPr/>
            <w:t>数据的</w:t>
          </w:r>
          <w:r>
            <w:rPr>
              <w:spacing w:val="-3"/>
            </w:rPr>
            <w:t>核</w:t>
          </w:r>
          <w:r>
            <w:rPr/>
            <w:t>查</w:t>
            <w:tab/>
          </w:r>
          <w:r>
            <w:rPr>
              <w:rFonts w:ascii="Times New Roman" w:eastAsia="Times New Roman"/>
            </w:rPr>
            <w:t>15</w:t>
          </w:r>
        </w:p>
        <w:p>
          <w:pPr>
            <w:pStyle w:val="TOC1"/>
            <w:numPr>
              <w:ilvl w:val="3"/>
              <w:numId w:val="2"/>
            </w:numPr>
            <w:tabs>
              <w:tab w:pos="1486" w:val="left" w:leader="none"/>
              <w:tab w:pos="8839" w:val="right" w:leader="dot"/>
            </w:tabs>
            <w:spacing w:line="240" w:lineRule="auto" w:before="186" w:after="0"/>
            <w:ind w:left="1485" w:right="0" w:hanging="841"/>
            <w:jc w:val="left"/>
            <w:rPr>
              <w:rFonts w:ascii="Times New Roman" w:eastAsia="Times New Roman"/>
            </w:rPr>
          </w:pPr>
          <w:r>
            <w:rPr/>
            <w:t>碳排放</w:t>
          </w:r>
          <w:r>
            <w:rPr>
              <w:spacing w:val="-3"/>
            </w:rPr>
            <w:t>补充</w:t>
          </w:r>
          <w:r>
            <w:rPr/>
            <w:t>数据核</w:t>
          </w:r>
          <w:r>
            <w:rPr>
              <w:spacing w:val="-3"/>
            </w:rPr>
            <w:t>算</w:t>
          </w:r>
          <w:r>
            <w:rPr/>
            <w:t>边界</w:t>
            <w:tab/>
          </w:r>
          <w:r>
            <w:rPr>
              <w:rFonts w:ascii="Times New Roman" w:eastAsia="Times New Roman"/>
            </w:rPr>
            <w:t>15</w:t>
          </w:r>
        </w:p>
        <w:p>
          <w:pPr>
            <w:pStyle w:val="TOC1"/>
            <w:numPr>
              <w:ilvl w:val="3"/>
              <w:numId w:val="2"/>
            </w:numPr>
            <w:tabs>
              <w:tab w:pos="1486" w:val="left" w:leader="none"/>
              <w:tab w:pos="8839" w:val="right" w:leader="dot"/>
            </w:tabs>
            <w:spacing w:line="240" w:lineRule="auto" w:before="186" w:after="0"/>
            <w:ind w:left="1485" w:right="0" w:hanging="841"/>
            <w:jc w:val="left"/>
            <w:rPr>
              <w:rFonts w:ascii="Times New Roman" w:eastAsia="Times New Roman"/>
            </w:rPr>
          </w:pPr>
          <w:r>
            <w:rPr/>
            <w:t>碳排放</w:t>
          </w:r>
          <w:r>
            <w:rPr>
              <w:spacing w:val="-3"/>
            </w:rPr>
            <w:t>补充</w:t>
          </w:r>
          <w:r>
            <w:rPr/>
            <w:t>数据核</w:t>
          </w:r>
          <w:r>
            <w:rPr>
              <w:spacing w:val="-3"/>
            </w:rPr>
            <w:t>算</w:t>
          </w:r>
          <w:r>
            <w:rPr/>
            <w:t>方法</w:t>
            <w:tab/>
          </w:r>
          <w:r>
            <w:rPr>
              <w:rFonts w:ascii="Times New Roman" w:eastAsia="Times New Roman"/>
            </w:rPr>
            <w:t>15</w:t>
          </w:r>
        </w:p>
        <w:p>
          <w:pPr>
            <w:pStyle w:val="TOC1"/>
            <w:numPr>
              <w:ilvl w:val="3"/>
              <w:numId w:val="2"/>
            </w:numPr>
            <w:tabs>
              <w:tab w:pos="1486" w:val="left" w:leader="none"/>
              <w:tab w:pos="8838" w:val="right" w:leader="dot"/>
            </w:tabs>
            <w:spacing w:line="240" w:lineRule="auto" w:before="186" w:after="0"/>
            <w:ind w:left="1485" w:right="0" w:hanging="841"/>
            <w:jc w:val="left"/>
            <w:rPr>
              <w:rFonts w:ascii="Times New Roman" w:eastAsia="Times New Roman"/>
            </w:rPr>
          </w:pPr>
          <w:r>
            <w:rPr/>
            <w:t>碳排放</w:t>
          </w:r>
          <w:r>
            <w:rPr>
              <w:spacing w:val="-3"/>
            </w:rPr>
            <w:t>补充</w:t>
          </w:r>
          <w:r>
            <w:rPr/>
            <w:t>数据汇</w:t>
          </w:r>
          <w:r>
            <w:rPr>
              <w:spacing w:val="-3"/>
            </w:rPr>
            <w:t>总</w:t>
          </w:r>
          <w:r>
            <w:rPr/>
            <w:t>表</w:t>
            <w:tab/>
          </w:r>
          <w:r>
            <w:rPr>
              <w:rFonts w:ascii="Times New Roman" w:eastAsia="Times New Roman"/>
            </w:rPr>
            <w:t>15</w:t>
          </w:r>
        </w:p>
        <w:p>
          <w:pPr>
            <w:pStyle w:val="TOC1"/>
            <w:numPr>
              <w:ilvl w:val="1"/>
              <w:numId w:val="3"/>
            </w:numPr>
            <w:tabs>
              <w:tab w:pos="1066" w:val="left" w:leader="none"/>
              <w:tab w:pos="8838" w:val="right" w:leader="dot"/>
            </w:tabs>
            <w:spacing w:line="240" w:lineRule="auto" w:before="186" w:after="0"/>
            <w:ind w:left="1065" w:right="0" w:hanging="421"/>
            <w:jc w:val="left"/>
            <w:rPr>
              <w:rFonts w:ascii="Times New Roman" w:eastAsia="Times New Roman"/>
            </w:rPr>
          </w:pPr>
          <w:r>
            <w:rPr/>
            <w:t>质量保</w:t>
          </w:r>
          <w:r>
            <w:rPr>
              <w:spacing w:val="-3"/>
            </w:rPr>
            <w:t>证</w:t>
          </w:r>
          <w:r>
            <w:rPr/>
            <w:t>和文</w:t>
          </w:r>
          <w:r>
            <w:rPr>
              <w:spacing w:val="-3"/>
            </w:rPr>
            <w:t>件</w:t>
          </w:r>
          <w:r>
            <w:rPr/>
            <w:t>存档的</w:t>
          </w:r>
          <w:r>
            <w:rPr>
              <w:spacing w:val="-3"/>
            </w:rPr>
            <w:t>核</w:t>
          </w:r>
          <w:r>
            <w:rPr/>
            <w:t>查</w:t>
            <w:tab/>
          </w:r>
          <w:r>
            <w:rPr>
              <w:rFonts w:ascii="Times New Roman" w:eastAsia="Times New Roman"/>
            </w:rPr>
            <w:t>17</w:t>
          </w:r>
        </w:p>
        <w:p>
          <w:pPr>
            <w:pStyle w:val="TOC1"/>
            <w:numPr>
              <w:ilvl w:val="1"/>
              <w:numId w:val="3"/>
            </w:numPr>
            <w:tabs>
              <w:tab w:pos="1066" w:val="left" w:leader="none"/>
              <w:tab w:pos="8838" w:val="right" w:leader="dot"/>
            </w:tabs>
            <w:spacing w:line="240" w:lineRule="auto" w:before="186" w:after="0"/>
            <w:ind w:left="1065" w:right="0" w:hanging="421"/>
            <w:jc w:val="left"/>
            <w:rPr>
              <w:rFonts w:ascii="Times New Roman" w:eastAsia="Times New Roman"/>
            </w:rPr>
          </w:pPr>
          <w:r>
            <w:rPr/>
            <w:t>其他核</w:t>
          </w:r>
          <w:r>
            <w:rPr>
              <w:spacing w:val="-3"/>
            </w:rPr>
            <w:t>查</w:t>
          </w:r>
          <w:r>
            <w:rPr/>
            <w:t>发现</w:t>
            <w:tab/>
          </w:r>
          <w:r>
            <w:rPr>
              <w:rFonts w:ascii="Times New Roman" w:eastAsia="Times New Roman"/>
            </w:rPr>
            <w:t>17</w:t>
          </w:r>
        </w:p>
        <w:p>
          <w:pPr>
            <w:pStyle w:val="TOC1"/>
            <w:numPr>
              <w:ilvl w:val="0"/>
              <w:numId w:val="1"/>
            </w:numPr>
            <w:tabs>
              <w:tab w:pos="855" w:val="left" w:leader="none"/>
              <w:tab w:pos="8838" w:val="right" w:leader="dot"/>
            </w:tabs>
            <w:spacing w:line="240" w:lineRule="auto" w:before="186" w:after="0"/>
            <w:ind w:left="854" w:right="0" w:hanging="210"/>
            <w:jc w:val="left"/>
            <w:rPr>
              <w:rFonts w:ascii="Times New Roman" w:eastAsia="Times New Roman"/>
            </w:rPr>
          </w:pPr>
          <w:r>
            <w:rPr/>
            <w:t>核查结论</w:t>
            <w:tab/>
          </w:r>
          <w:r>
            <w:rPr>
              <w:rFonts w:ascii="Times New Roman" w:eastAsia="Times New Roman"/>
            </w:rPr>
            <w:t>18</w:t>
          </w:r>
        </w:p>
        <w:p>
          <w:pPr>
            <w:pStyle w:val="TOC1"/>
            <w:numPr>
              <w:ilvl w:val="1"/>
              <w:numId w:val="1"/>
            </w:numPr>
            <w:tabs>
              <w:tab w:pos="1066" w:val="left" w:leader="none"/>
              <w:tab w:pos="8838" w:val="right" w:leader="dot"/>
            </w:tabs>
            <w:spacing w:line="240" w:lineRule="auto" w:before="186" w:after="0"/>
            <w:ind w:left="1065" w:right="0" w:hanging="421"/>
            <w:jc w:val="left"/>
            <w:rPr>
              <w:rFonts w:ascii="Times New Roman" w:eastAsia="Times New Roman"/>
            </w:rPr>
          </w:pPr>
          <w:r>
            <w:rPr/>
            <w:t>排放报</w:t>
          </w:r>
          <w:r>
            <w:rPr>
              <w:spacing w:val="-3"/>
            </w:rPr>
            <w:t>告</w:t>
          </w:r>
          <w:r>
            <w:rPr/>
            <w:t>与方</w:t>
          </w:r>
          <w:r>
            <w:rPr>
              <w:spacing w:val="-3"/>
            </w:rPr>
            <w:t>法</w:t>
          </w:r>
          <w:r>
            <w:rPr/>
            <w:t>学的符</w:t>
          </w:r>
          <w:r>
            <w:rPr>
              <w:spacing w:val="-3"/>
            </w:rPr>
            <w:t>合</w:t>
          </w:r>
          <w:r>
            <w:rPr/>
            <w:t>性</w:t>
            <w:tab/>
          </w:r>
          <w:r>
            <w:rPr>
              <w:rFonts w:ascii="Times New Roman" w:eastAsia="Times New Roman"/>
            </w:rPr>
            <w:t>18</w:t>
          </w:r>
        </w:p>
        <w:p>
          <w:pPr>
            <w:pStyle w:val="TOC1"/>
            <w:numPr>
              <w:ilvl w:val="1"/>
              <w:numId w:val="1"/>
            </w:numPr>
            <w:tabs>
              <w:tab w:pos="1066" w:val="left" w:leader="none"/>
              <w:tab w:pos="8838" w:val="right" w:leader="dot"/>
            </w:tabs>
            <w:spacing w:line="240" w:lineRule="auto" w:before="186" w:after="0"/>
            <w:ind w:left="1065" w:right="0" w:hanging="421"/>
            <w:jc w:val="left"/>
            <w:rPr>
              <w:rFonts w:ascii="Times New Roman" w:eastAsia="Times New Roman"/>
            </w:rPr>
          </w:pPr>
          <w:r>
            <w:rPr/>
            <w:t>年度排</w:t>
          </w:r>
          <w:r>
            <w:rPr>
              <w:spacing w:val="-3"/>
            </w:rPr>
            <w:t>放</w:t>
          </w:r>
          <w:r>
            <w:rPr/>
            <w:t>量及</w:t>
          </w:r>
          <w:r>
            <w:rPr>
              <w:spacing w:val="-3"/>
            </w:rPr>
            <w:t>异</w:t>
          </w:r>
          <w:r>
            <w:rPr/>
            <w:t>常波动</w:t>
          </w:r>
          <w:r>
            <w:rPr>
              <w:spacing w:val="-3"/>
            </w:rPr>
            <w:t>声</w:t>
          </w:r>
          <w:r>
            <w:rPr/>
            <w:t>明</w:t>
            <w:tab/>
          </w:r>
          <w:r>
            <w:rPr>
              <w:rFonts w:ascii="Times New Roman" w:eastAsia="Times New Roman"/>
            </w:rPr>
            <w:t>18</w:t>
          </w:r>
        </w:p>
        <w:p>
          <w:pPr>
            <w:pStyle w:val="TOC1"/>
            <w:numPr>
              <w:ilvl w:val="1"/>
              <w:numId w:val="1"/>
            </w:numPr>
            <w:tabs>
              <w:tab w:pos="1066" w:val="left" w:leader="none"/>
              <w:tab w:pos="8838" w:val="right" w:leader="dot"/>
            </w:tabs>
            <w:spacing w:line="240" w:lineRule="auto" w:before="183" w:after="0"/>
            <w:ind w:left="1065" w:right="0" w:hanging="421"/>
            <w:jc w:val="left"/>
            <w:rPr>
              <w:rFonts w:ascii="Times New Roman" w:eastAsia="Times New Roman"/>
            </w:rPr>
          </w:pPr>
          <w:r>
            <w:rPr/>
            <w:t>年度排</w:t>
          </w:r>
          <w:r>
            <w:rPr>
              <w:spacing w:val="-3"/>
            </w:rPr>
            <w:t>放</w:t>
          </w:r>
          <w:r>
            <w:rPr/>
            <w:t>量的</w:t>
          </w:r>
          <w:r>
            <w:rPr>
              <w:spacing w:val="-3"/>
            </w:rPr>
            <w:t>异</w:t>
          </w:r>
          <w:r>
            <w:rPr/>
            <w:t>常波动</w:t>
            <w:tab/>
          </w:r>
          <w:r>
            <w:rPr>
              <w:rFonts w:ascii="Times New Roman" w:eastAsia="Times New Roman"/>
            </w:rPr>
            <w:t>18</w:t>
          </w:r>
        </w:p>
        <w:p>
          <w:pPr>
            <w:pStyle w:val="TOC1"/>
            <w:numPr>
              <w:ilvl w:val="1"/>
              <w:numId w:val="1"/>
            </w:numPr>
            <w:tabs>
              <w:tab w:pos="1066" w:val="left" w:leader="none"/>
              <w:tab w:pos="8838" w:val="right" w:leader="dot"/>
            </w:tabs>
            <w:spacing w:line="240" w:lineRule="auto" w:before="186" w:after="0"/>
            <w:ind w:left="1065" w:right="0" w:hanging="421"/>
            <w:jc w:val="left"/>
            <w:rPr>
              <w:rFonts w:ascii="Times New Roman" w:eastAsia="Times New Roman"/>
            </w:rPr>
          </w:pPr>
          <w:r>
            <w:rPr/>
            <w:t>核查过</w:t>
          </w:r>
          <w:r>
            <w:rPr>
              <w:spacing w:val="-3"/>
            </w:rPr>
            <w:t>程</w:t>
          </w:r>
          <w:r>
            <w:rPr/>
            <w:t>中未</w:t>
          </w:r>
          <w:r>
            <w:rPr>
              <w:spacing w:val="-3"/>
            </w:rPr>
            <w:t>覆</w:t>
          </w:r>
          <w:r>
            <w:rPr/>
            <w:t>盖的问</w:t>
          </w:r>
          <w:r>
            <w:rPr>
              <w:spacing w:val="-3"/>
            </w:rPr>
            <w:t>题</w:t>
          </w:r>
          <w:r>
            <w:rPr/>
            <w:t>描述</w:t>
            <w:tab/>
          </w:r>
          <w:r>
            <w:rPr>
              <w:rFonts w:ascii="Times New Roman" w:eastAsia="Times New Roman"/>
            </w:rPr>
            <w:t>18</w:t>
          </w:r>
        </w:p>
        <w:p>
          <w:pPr>
            <w:pStyle w:val="TOC1"/>
            <w:tabs>
              <w:tab w:pos="8838" w:val="right" w:leader="dot"/>
            </w:tabs>
            <w:ind w:left="645" w:firstLine="0"/>
            <w:rPr>
              <w:rFonts w:ascii="Times New Roman" w:eastAsia="Times New Roman"/>
            </w:rPr>
          </w:pPr>
          <w:r>
            <w:rPr>
              <w:rFonts w:ascii="Times New Roman" w:eastAsia="Times New Roman"/>
            </w:rPr>
            <w:t>5</w:t>
          </w:r>
          <w:r>
            <w:rPr>
              <w:rFonts w:ascii="Times New Roman" w:eastAsia="Times New Roman"/>
              <w:spacing w:val="-2"/>
            </w:rPr>
            <w:t> </w:t>
          </w:r>
          <w:r>
            <w:rPr/>
            <w:t>附件</w:t>
            <w:tab/>
          </w:r>
          <w:r>
            <w:rPr>
              <w:rFonts w:ascii="Times New Roman" w:eastAsia="Times New Roman"/>
            </w:rPr>
            <w:t>19</w:t>
          </w:r>
        </w:p>
        <w:p>
          <w:pPr>
            <w:pStyle w:val="TOC1"/>
            <w:tabs>
              <w:tab w:pos="8839" w:val="right" w:leader="dot"/>
            </w:tabs>
            <w:ind w:left="645" w:firstLine="0"/>
            <w:rPr>
              <w:rFonts w:ascii="Times New Roman" w:eastAsia="Times New Roman"/>
            </w:rPr>
          </w:pPr>
          <w:r>
            <w:rPr/>
            <w:t>附件</w:t>
          </w:r>
          <w:r>
            <w:rPr>
              <w:spacing w:val="-71"/>
            </w:rPr>
            <w:t> </w:t>
          </w:r>
          <w:r>
            <w:rPr>
              <w:rFonts w:ascii="Times New Roman" w:eastAsia="Times New Roman"/>
            </w:rPr>
            <w:t>1</w:t>
          </w:r>
          <w:r>
            <w:rPr/>
            <w:t>：不符</w:t>
          </w:r>
          <w:r>
            <w:rPr>
              <w:spacing w:val="-3"/>
            </w:rPr>
            <w:t>合</w:t>
          </w:r>
          <w:r>
            <w:rPr/>
            <w:t>清单</w:t>
            <w:tab/>
          </w:r>
          <w:r>
            <w:rPr>
              <w:rFonts w:ascii="Times New Roman" w:eastAsia="Times New Roman"/>
            </w:rPr>
            <w:t>19</w:t>
          </w:r>
        </w:p>
        <w:p>
          <w:pPr>
            <w:pStyle w:val="TOC1"/>
            <w:tabs>
              <w:tab w:pos="8839" w:val="right" w:leader="dot"/>
            </w:tabs>
            <w:ind w:left="645" w:firstLine="0"/>
            <w:rPr>
              <w:rFonts w:ascii="Times New Roman" w:eastAsia="Times New Roman"/>
            </w:rPr>
          </w:pPr>
          <w:r>
            <w:rPr/>
            <w:t>附件</w:t>
          </w:r>
          <w:r>
            <w:rPr>
              <w:spacing w:val="-71"/>
            </w:rPr>
            <w:t> </w:t>
          </w:r>
          <w:r>
            <w:rPr>
              <w:rFonts w:ascii="Times New Roman" w:eastAsia="Times New Roman"/>
            </w:rPr>
            <w:t>2</w:t>
          </w:r>
          <w:r>
            <w:rPr/>
            <w:t>：对今</w:t>
          </w:r>
          <w:r>
            <w:rPr>
              <w:spacing w:val="-3"/>
            </w:rPr>
            <w:t>后</w:t>
          </w:r>
          <w:r>
            <w:rPr/>
            <w:t>核</w:t>
          </w:r>
          <w:r>
            <w:rPr>
              <w:spacing w:val="-3"/>
            </w:rPr>
            <w:t>算</w:t>
          </w:r>
          <w:r>
            <w:rPr/>
            <w:t>活动的</w:t>
          </w:r>
          <w:r>
            <w:rPr>
              <w:spacing w:val="-3"/>
            </w:rPr>
            <w:t>建</w:t>
          </w:r>
          <w:r>
            <w:rPr/>
            <w:t>议</w:t>
            <w:tab/>
          </w:r>
          <w:r>
            <w:rPr>
              <w:rFonts w:ascii="Times New Roman" w:eastAsia="Times New Roman"/>
            </w:rPr>
            <w:t>20</w:t>
          </w:r>
        </w:p>
        <w:p>
          <w:pPr>
            <w:pStyle w:val="TOC1"/>
            <w:tabs>
              <w:tab w:pos="8839" w:val="right" w:leader="dot"/>
            </w:tabs>
            <w:ind w:left="646" w:firstLine="0"/>
            <w:rPr>
              <w:rFonts w:ascii="Times New Roman" w:eastAsia="Times New Roman"/>
            </w:rPr>
          </w:pPr>
          <w:r>
            <w:rPr/>
            <w:t>附件</w:t>
          </w:r>
          <w:r>
            <w:rPr>
              <w:spacing w:val="-71"/>
            </w:rPr>
            <w:t> </w:t>
          </w:r>
          <w:r>
            <w:rPr>
              <w:rFonts w:ascii="Times New Roman" w:eastAsia="Times New Roman"/>
            </w:rPr>
            <w:t>3</w:t>
          </w:r>
          <w:r>
            <w:rPr/>
            <w:t>：支持</w:t>
          </w:r>
          <w:r>
            <w:rPr>
              <w:spacing w:val="-3"/>
            </w:rPr>
            <w:t>性</w:t>
          </w:r>
          <w:r>
            <w:rPr/>
            <w:t>文</w:t>
          </w:r>
          <w:r>
            <w:rPr>
              <w:spacing w:val="-3"/>
            </w:rPr>
            <w:t>件</w:t>
          </w:r>
          <w:r>
            <w:rPr/>
            <w:t>清单</w:t>
            <w:tab/>
          </w:r>
          <w:r>
            <w:rPr>
              <w:rFonts w:ascii="Times New Roman" w:eastAsia="Times New Roman"/>
            </w:rPr>
            <w:t>21</w:t>
          </w:r>
        </w:p>
      </w:sdtContent>
    </w:sdt>
    <w:p>
      <w:pPr>
        <w:spacing w:after="0"/>
        <w:rPr>
          <w:rFonts w:ascii="Times New Roman" w:eastAsia="Times New Roman"/>
        </w:rPr>
        <w:sectPr>
          <w:type w:val="continuous"/>
          <w:pgSz w:w="11910" w:h="16840"/>
          <w:pgMar w:top="1380" w:bottom="1903" w:left="1260" w:right="1240"/>
        </w:sectPr>
      </w:pPr>
    </w:p>
    <w:p>
      <w:pPr>
        <w:pStyle w:val="Heading1"/>
        <w:numPr>
          <w:ilvl w:val="0"/>
          <w:numId w:val="4"/>
        </w:numPr>
        <w:tabs>
          <w:tab w:pos="888" w:val="left" w:leader="none"/>
        </w:tabs>
        <w:spacing w:line="483" w:lineRule="exact" w:before="0" w:after="0"/>
        <w:ind w:left="888" w:right="0" w:hanging="209"/>
        <w:jc w:val="left"/>
      </w:pPr>
      <w:bookmarkStart w:name="_bookmark0" w:id="1"/>
      <w:bookmarkEnd w:id="1"/>
      <w:r>
        <w:rPr>
          <w:b w:val="0"/>
        </w:rPr>
      </w:r>
      <w:bookmarkStart w:name="_bookmark0" w:id="2"/>
      <w:bookmarkEnd w:id="2"/>
      <w:r>
        <w:rPr/>
        <w:t>概述</w:t>
      </w:r>
    </w:p>
    <w:p>
      <w:pPr>
        <w:pStyle w:val="Heading1"/>
        <w:numPr>
          <w:ilvl w:val="1"/>
          <w:numId w:val="4"/>
        </w:numPr>
        <w:tabs>
          <w:tab w:pos="958" w:val="left" w:leader="none"/>
        </w:tabs>
        <w:spacing w:line="240" w:lineRule="auto" w:before="30" w:after="0"/>
        <w:ind w:left="957" w:right="0" w:hanging="421"/>
        <w:jc w:val="left"/>
      </w:pPr>
      <w:bookmarkStart w:name="_bookmark1" w:id="3"/>
      <w:bookmarkEnd w:id="3"/>
      <w:r>
        <w:rPr>
          <w:b w:val="0"/>
        </w:rPr>
      </w:r>
      <w:bookmarkStart w:name="_bookmark1" w:id="4"/>
      <w:bookmarkEnd w:id="4"/>
      <w:r>
        <w:rPr/>
        <w:t>核查目的</w:t>
      </w:r>
    </w:p>
    <w:p>
      <w:pPr>
        <w:pStyle w:val="BodyText"/>
        <w:spacing w:before="122"/>
        <w:ind w:left="1096"/>
      </w:pPr>
      <w:r>
        <w:rPr/>
        <w:t>此次核查目的包括：</w:t>
      </w:r>
    </w:p>
    <w:p>
      <w:pPr>
        <w:pStyle w:val="BodyText"/>
        <w:spacing w:line="364" w:lineRule="auto" w:before="186"/>
        <w:ind w:left="537" w:right="549" w:firstLine="559"/>
        <w:jc w:val="both"/>
      </w:pPr>
      <w:r>
        <w:rPr>
          <w:rFonts w:ascii="Times New Roman" w:hAnsi="Times New Roman" w:eastAsia="Times New Roman"/>
        </w:rPr>
        <w:t>-</w:t>
      </w:r>
      <w:r>
        <w:rPr/>
        <w:t>确认受核查方提供的二氧化碳排放报告及其支持文件是否是完</w:t>
      </w:r>
      <w:r>
        <w:rPr>
          <w:spacing w:val="-10"/>
        </w:rPr>
        <w:t>整可信，是否符合《机械设备制造企业温室气体排放核算方法与报告指南（</w:t>
      </w:r>
      <w:r>
        <w:rPr>
          <w:spacing w:val="-2"/>
        </w:rPr>
        <w:t>试行</w:t>
      </w:r>
      <w:r>
        <w:rPr/>
        <w:t>）</w:t>
      </w:r>
      <w:r>
        <w:rPr>
          <w:spacing w:val="-3"/>
        </w:rPr>
        <w:t>》（以下简称“《核算指南》”</w:t>
      </w:r>
      <w:r>
        <w:rPr/>
        <w:t>）</w:t>
      </w:r>
      <w:r>
        <w:rPr>
          <w:spacing w:val="-3"/>
        </w:rPr>
        <w:t>的要求；</w:t>
      </w:r>
    </w:p>
    <w:p>
      <w:pPr>
        <w:pStyle w:val="BodyText"/>
        <w:spacing w:line="364" w:lineRule="auto"/>
        <w:ind w:left="537" w:right="552" w:firstLine="559"/>
        <w:jc w:val="both"/>
      </w:pPr>
      <w:r>
        <w:rPr>
          <w:rFonts w:ascii="Times New Roman" w:eastAsia="Times New Roman"/>
        </w:rPr>
        <w:t>-</w:t>
      </w:r>
      <w:r>
        <w:rPr>
          <w:spacing w:val="-15"/>
        </w:rPr>
        <w:t>根据《机械设备制造企业温室气体排放核算方法与报告指南</w:t>
      </w:r>
      <w:r>
        <w:rPr/>
        <w:t>（试行</w:t>
      </w:r>
      <w:r>
        <w:rPr>
          <w:spacing w:val="-22"/>
        </w:rPr>
        <w:t>）</w:t>
      </w:r>
      <w:r>
        <w:rPr>
          <w:spacing w:val="-10"/>
        </w:rPr>
        <w:t>》的要求，对记录和存储的数据进行评审，确认数据及计算结果</w:t>
      </w:r>
      <w:r>
        <w:rPr>
          <w:spacing w:val="-3"/>
        </w:rPr>
        <w:t>是否真实、可靠、正确。</w:t>
      </w:r>
    </w:p>
    <w:p>
      <w:pPr>
        <w:pStyle w:val="Heading1"/>
        <w:numPr>
          <w:ilvl w:val="1"/>
          <w:numId w:val="4"/>
        </w:numPr>
        <w:tabs>
          <w:tab w:pos="958" w:val="left" w:leader="none"/>
        </w:tabs>
        <w:spacing w:line="421" w:lineRule="exact" w:before="0" w:after="0"/>
        <w:ind w:left="957" w:right="0" w:hanging="421"/>
        <w:jc w:val="left"/>
      </w:pPr>
      <w:bookmarkStart w:name="_bookmark2" w:id="5"/>
      <w:bookmarkEnd w:id="5"/>
      <w:r>
        <w:rPr>
          <w:b w:val="0"/>
        </w:rPr>
      </w:r>
      <w:bookmarkStart w:name="_bookmark2" w:id="6"/>
      <w:bookmarkEnd w:id="6"/>
      <w:r>
        <w:rPr/>
        <w:t>核查范围</w:t>
      </w:r>
    </w:p>
    <w:p>
      <w:pPr>
        <w:pStyle w:val="BodyText"/>
        <w:spacing w:line="364" w:lineRule="auto" w:before="121"/>
        <w:ind w:left="537" w:right="555" w:firstLine="559"/>
        <w:jc w:val="both"/>
      </w:pPr>
      <w:r>
        <w:rPr>
          <w:spacing w:val="-8"/>
        </w:rPr>
        <w:t>此次核查范围包括排放单位核算边界内的温室气体排放总量，范</w:t>
      </w:r>
      <w:r>
        <w:rPr>
          <w:spacing w:val="-10"/>
        </w:rPr>
        <w:t>围包括：企业化石燃料燃烧排放量和净购入使用的电力产生的二氧化碳排放。</w:t>
      </w:r>
    </w:p>
    <w:p>
      <w:pPr>
        <w:pStyle w:val="Heading1"/>
        <w:numPr>
          <w:ilvl w:val="1"/>
          <w:numId w:val="4"/>
        </w:numPr>
        <w:tabs>
          <w:tab w:pos="958" w:val="left" w:leader="none"/>
        </w:tabs>
        <w:spacing w:line="419" w:lineRule="exact" w:before="0" w:after="0"/>
        <w:ind w:left="957" w:right="0" w:hanging="421"/>
        <w:jc w:val="left"/>
      </w:pPr>
      <w:bookmarkStart w:name="_bookmark3" w:id="7"/>
      <w:bookmarkEnd w:id="7"/>
      <w:r>
        <w:rPr>
          <w:b w:val="0"/>
        </w:rPr>
      </w:r>
      <w:bookmarkStart w:name="_bookmark3" w:id="8"/>
      <w:bookmarkEnd w:id="8"/>
      <w:r>
        <w:rPr/>
        <w:t>核查准则</w:t>
      </w:r>
    </w:p>
    <w:p>
      <w:pPr>
        <w:pStyle w:val="BodyText"/>
        <w:spacing w:line="364" w:lineRule="auto" w:before="122"/>
        <w:ind w:left="537" w:right="553" w:firstLine="559"/>
        <w:jc w:val="both"/>
      </w:pPr>
      <w:r>
        <w:rPr>
          <w:spacing w:val="-11"/>
        </w:rPr>
        <w:t>根据《排放监测计划审核和排放报告核查参考指南》，为了确保</w:t>
      </w:r>
      <w:r>
        <w:rPr>
          <w:spacing w:val="-8"/>
        </w:rPr>
        <w:t>真实公正地获取排放单位的温室气体排放信息，此次核查工作在开展</w:t>
      </w:r>
      <w:r>
        <w:rPr>
          <w:spacing w:val="-5"/>
        </w:rPr>
        <w:t>工作时，零碳环境遵守下列原则：</w:t>
      </w:r>
    </w:p>
    <w:p>
      <w:pPr>
        <w:pStyle w:val="ListParagraph"/>
        <w:numPr>
          <w:ilvl w:val="2"/>
          <w:numId w:val="4"/>
        </w:numPr>
        <w:tabs>
          <w:tab w:pos="1518" w:val="left" w:leader="none"/>
        </w:tabs>
        <w:spacing w:line="357" w:lineRule="exact" w:before="0" w:after="0"/>
        <w:ind w:left="1517" w:right="0" w:hanging="422"/>
        <w:jc w:val="left"/>
        <w:rPr>
          <w:sz w:val="28"/>
        </w:rPr>
      </w:pPr>
      <w:r>
        <w:rPr>
          <w:sz w:val="28"/>
        </w:rPr>
        <w:t>客观独立</w:t>
      </w:r>
    </w:p>
    <w:p>
      <w:pPr>
        <w:pStyle w:val="BodyText"/>
        <w:spacing w:line="364" w:lineRule="auto" w:before="186"/>
        <w:ind w:left="537" w:right="553" w:firstLine="559"/>
      </w:pPr>
      <w:r>
        <w:rPr>
          <w:spacing w:val="-10"/>
        </w:rPr>
        <w:t>零碳环境独立于被核查企业，避免利益冲突，在核查活动中保持</w:t>
      </w:r>
      <w:r>
        <w:rPr>
          <w:spacing w:val="-1"/>
        </w:rPr>
        <w:t>客观、独立。</w:t>
      </w:r>
    </w:p>
    <w:p>
      <w:pPr>
        <w:pStyle w:val="ListParagraph"/>
        <w:numPr>
          <w:ilvl w:val="2"/>
          <w:numId w:val="4"/>
        </w:numPr>
        <w:tabs>
          <w:tab w:pos="1518" w:val="left" w:leader="none"/>
        </w:tabs>
        <w:spacing w:line="358" w:lineRule="exact" w:before="0" w:after="0"/>
        <w:ind w:left="1517" w:right="0" w:hanging="422"/>
        <w:jc w:val="left"/>
        <w:rPr>
          <w:sz w:val="28"/>
        </w:rPr>
      </w:pPr>
      <w:r>
        <w:rPr>
          <w:sz w:val="28"/>
        </w:rPr>
        <w:t>公平公正</w:t>
      </w:r>
    </w:p>
    <w:p>
      <w:pPr>
        <w:pStyle w:val="BodyText"/>
        <w:spacing w:line="364" w:lineRule="auto" w:before="186"/>
        <w:ind w:left="537" w:right="556" w:firstLine="559"/>
      </w:pPr>
      <w:r>
        <w:rPr>
          <w:spacing w:val="-11"/>
        </w:rPr>
        <w:t>零碳环境在核查过程中的发现、结论、报告应以核查过程中获得</w:t>
      </w:r>
      <w:r>
        <w:rPr>
          <w:spacing w:val="-3"/>
        </w:rPr>
        <w:t>的客观证据为基础，不在核查过程中隐瞒事实、弄虚作假。</w:t>
      </w:r>
    </w:p>
    <w:p>
      <w:pPr>
        <w:pStyle w:val="ListParagraph"/>
        <w:numPr>
          <w:ilvl w:val="2"/>
          <w:numId w:val="4"/>
        </w:numPr>
        <w:tabs>
          <w:tab w:pos="1518" w:val="left" w:leader="none"/>
        </w:tabs>
        <w:spacing w:line="358" w:lineRule="exact" w:before="0" w:after="0"/>
        <w:ind w:left="1517" w:right="0" w:hanging="422"/>
        <w:jc w:val="left"/>
        <w:rPr>
          <w:sz w:val="28"/>
        </w:rPr>
      </w:pPr>
      <w:r>
        <w:rPr>
          <w:sz w:val="28"/>
        </w:rPr>
        <w:t>诚信保密</w:t>
      </w:r>
    </w:p>
    <w:p>
      <w:pPr>
        <w:spacing w:after="0" w:line="358" w:lineRule="exact"/>
        <w:jc w:val="left"/>
        <w:rPr>
          <w:sz w:val="28"/>
        </w:rPr>
        <w:sectPr>
          <w:headerReference w:type="default" r:id="rId7"/>
          <w:footerReference w:type="default" r:id="rId8"/>
          <w:pgSz w:w="11910" w:h="16840"/>
          <w:pgMar w:header="872" w:footer="997" w:top="1360" w:bottom="1180" w:left="1260" w:right="1240"/>
          <w:pgNumType w:start="1"/>
        </w:sectPr>
      </w:pPr>
    </w:p>
    <w:p>
      <w:pPr>
        <w:pStyle w:val="BodyText"/>
        <w:spacing w:line="364" w:lineRule="auto" w:before="60"/>
        <w:ind w:left="537" w:right="466" w:firstLine="559"/>
      </w:pPr>
      <w:r>
        <w:rPr/>
        <w:t>零碳环境的核查人员在核查工作中诚信、正直，遵守职业道德， 履行保密义务。</w:t>
      </w:r>
    </w:p>
    <w:p>
      <w:pPr>
        <w:pStyle w:val="BodyText"/>
        <w:spacing w:line="358" w:lineRule="exact"/>
        <w:ind w:left="1096"/>
      </w:pPr>
      <w:r>
        <w:rPr/>
        <w:t>同时，此次核查工作的相关依据包括：</w:t>
      </w:r>
    </w:p>
    <w:p>
      <w:pPr>
        <w:pStyle w:val="BodyText"/>
        <w:spacing w:line="364" w:lineRule="auto" w:before="186"/>
        <w:ind w:left="537" w:right="549" w:firstLine="559"/>
      </w:pPr>
      <w:r>
        <w:rPr>
          <w:rFonts w:ascii="Times New Roman" w:eastAsia="Times New Roman"/>
        </w:rPr>
        <w:t>-</w:t>
      </w:r>
      <w:r>
        <w:rPr/>
        <w:t>《碳排放权交易管理暂行办法》（中华人民共和国国家发展和改革委员会令第 </w:t>
      </w:r>
      <w:r>
        <w:rPr>
          <w:rFonts w:ascii="Times New Roman" w:eastAsia="Times New Roman"/>
        </w:rPr>
        <w:t>17 </w:t>
      </w:r>
      <w:r>
        <w:rPr/>
        <w:t>号）；</w:t>
      </w:r>
    </w:p>
    <w:p>
      <w:pPr>
        <w:pStyle w:val="BodyText"/>
        <w:spacing w:line="364" w:lineRule="auto"/>
        <w:ind w:left="537" w:right="540" w:firstLine="559"/>
      </w:pPr>
      <w:r>
        <w:rPr>
          <w:rFonts w:ascii="Times New Roman" w:eastAsia="Times New Roman"/>
        </w:rPr>
        <w:t>-</w:t>
      </w:r>
      <w:r>
        <w:rPr/>
        <w:t>《机械设备制造企业温室气体排放核算方法与报告指南（试行）》；</w:t>
      </w:r>
    </w:p>
    <w:p>
      <w:pPr>
        <w:pStyle w:val="BodyText"/>
        <w:spacing w:line="358" w:lineRule="exact"/>
        <w:ind w:left="1096"/>
      </w:pPr>
      <w:r>
        <w:rPr>
          <w:rFonts w:ascii="Times New Roman" w:eastAsia="Times New Roman"/>
        </w:rPr>
        <w:t>-</w:t>
      </w:r>
      <w:r>
        <w:rPr/>
        <w:t>《国民经济行业分类》（</w:t>
      </w:r>
      <w:r>
        <w:rPr>
          <w:rFonts w:ascii="Times New Roman" w:eastAsia="Times New Roman"/>
        </w:rPr>
        <w:t>GB/T4754-2017</w:t>
      </w:r>
      <w:r>
        <w:rPr/>
        <w:t>）；</w:t>
      </w:r>
    </w:p>
    <w:p>
      <w:pPr>
        <w:pStyle w:val="BodyText"/>
        <w:spacing w:before="185"/>
        <w:ind w:left="1096"/>
      </w:pPr>
      <w:r>
        <w:rPr>
          <w:rFonts w:ascii="Times New Roman" w:eastAsia="Times New Roman"/>
          <w:spacing w:val="-89"/>
        </w:rPr>
        <w:t>-</w:t>
      </w:r>
      <w:r>
        <w:rPr>
          <w:spacing w:val="-3"/>
        </w:rPr>
        <w:t>《用能单位能源计量器具配备与管理通则</w:t>
      </w:r>
      <w:r>
        <w:rPr>
          <w:spacing w:val="-178"/>
        </w:rPr>
        <w:t>》</w:t>
      </w:r>
      <w:r>
        <w:rPr>
          <w:spacing w:val="-12"/>
        </w:rPr>
        <w:t>（</w:t>
      </w:r>
      <w:r>
        <w:rPr>
          <w:rFonts w:ascii="Times New Roman" w:eastAsia="Times New Roman"/>
          <w:spacing w:val="-12"/>
        </w:rPr>
        <w:t>GB/T17167-2006</w:t>
      </w:r>
      <w:r>
        <w:rPr>
          <w:spacing w:val="-12"/>
        </w:rPr>
        <w:t>）；</w:t>
      </w:r>
    </w:p>
    <w:p>
      <w:pPr>
        <w:pStyle w:val="BodyText"/>
        <w:spacing w:before="186"/>
        <w:ind w:left="1096"/>
      </w:pPr>
      <w:r>
        <w:rPr>
          <w:rFonts w:ascii="Times New Roman" w:eastAsia="Times New Roman"/>
        </w:rPr>
        <w:t>-</w:t>
      </w:r>
      <w:r>
        <w:rPr/>
        <w:t>《综合能耗计算通则》（</w:t>
      </w:r>
      <w:r>
        <w:rPr>
          <w:rFonts w:ascii="Times New Roman" w:eastAsia="Times New Roman"/>
        </w:rPr>
        <w:t>GB/T2589-2020</w:t>
      </w:r>
      <w:r>
        <w:rPr/>
        <w:t>）；</w:t>
      </w:r>
    </w:p>
    <w:p>
      <w:pPr>
        <w:pStyle w:val="BodyText"/>
        <w:spacing w:before="186"/>
        <w:ind w:left="1096"/>
      </w:pPr>
      <w:r>
        <w:rPr>
          <w:rFonts w:ascii="Times New Roman" w:eastAsia="Times New Roman"/>
        </w:rPr>
        <w:t>-</w:t>
      </w:r>
      <w:r>
        <w:rPr/>
        <w:t>《电能计量装置技术管理规程》（</w:t>
      </w:r>
      <w:r>
        <w:rPr>
          <w:rFonts w:ascii="Times New Roman" w:eastAsia="Times New Roman"/>
        </w:rPr>
        <w:t>DL/T448-2000</w:t>
      </w:r>
      <w:r>
        <w:rPr/>
        <w:t>）；</w:t>
      </w:r>
    </w:p>
    <w:p>
      <w:pPr>
        <w:pStyle w:val="BodyText"/>
        <w:spacing w:before="184"/>
        <w:ind w:left="1096"/>
      </w:pPr>
      <w:r>
        <w:rPr>
          <w:rFonts w:ascii="Times New Roman" w:eastAsia="Times New Roman"/>
        </w:rPr>
        <w:t>-</w:t>
      </w:r>
      <w:r>
        <w:rPr/>
        <w:t>《</w:t>
      </w:r>
      <w:r>
        <w:rPr>
          <w:rFonts w:ascii="Times New Roman" w:eastAsia="Times New Roman"/>
        </w:rPr>
        <w:t>2006 </w:t>
      </w:r>
      <w:r>
        <w:rPr/>
        <w:t>年 </w:t>
      </w:r>
      <w:r>
        <w:rPr>
          <w:rFonts w:ascii="Times New Roman" w:eastAsia="Times New Roman"/>
        </w:rPr>
        <w:t>IPCC </w:t>
      </w:r>
      <w:r>
        <w:rPr/>
        <w:t>国家温室气体清单指南》。</w:t>
      </w:r>
    </w:p>
    <w:p>
      <w:pPr>
        <w:pStyle w:val="Heading1"/>
        <w:numPr>
          <w:ilvl w:val="0"/>
          <w:numId w:val="4"/>
        </w:numPr>
        <w:tabs>
          <w:tab w:pos="747" w:val="left" w:leader="none"/>
        </w:tabs>
        <w:spacing w:line="240" w:lineRule="auto" w:before="94" w:after="0"/>
        <w:ind w:left="746" w:right="0" w:hanging="210"/>
        <w:jc w:val="left"/>
      </w:pPr>
      <w:bookmarkStart w:name="_bookmark4" w:id="9"/>
      <w:bookmarkEnd w:id="9"/>
      <w:r>
        <w:rPr>
          <w:b w:val="0"/>
        </w:rPr>
      </w:r>
      <w:bookmarkStart w:name="_bookmark4" w:id="10"/>
      <w:bookmarkEnd w:id="10"/>
      <w:r>
        <w:rPr/>
        <w:t>核查过程和方法</w:t>
      </w:r>
    </w:p>
    <w:p>
      <w:pPr>
        <w:pStyle w:val="Heading1"/>
        <w:numPr>
          <w:ilvl w:val="1"/>
          <w:numId w:val="4"/>
        </w:numPr>
        <w:tabs>
          <w:tab w:pos="958" w:val="left" w:leader="none"/>
        </w:tabs>
        <w:spacing w:line="240" w:lineRule="auto" w:before="29" w:after="0"/>
        <w:ind w:left="957" w:right="0" w:hanging="421"/>
        <w:jc w:val="left"/>
      </w:pPr>
      <w:bookmarkStart w:name="_bookmark5" w:id="11"/>
      <w:bookmarkEnd w:id="11"/>
      <w:r>
        <w:rPr>
          <w:b w:val="0"/>
        </w:rPr>
      </w:r>
      <w:bookmarkStart w:name="_bookmark5" w:id="12"/>
      <w:bookmarkEnd w:id="12"/>
      <w:r>
        <w:rPr/>
        <w:t>核查组安排</w:t>
      </w:r>
    </w:p>
    <w:p>
      <w:pPr>
        <w:pStyle w:val="Heading1"/>
        <w:numPr>
          <w:ilvl w:val="2"/>
          <w:numId w:val="5"/>
        </w:numPr>
        <w:tabs>
          <w:tab w:pos="1169" w:val="left" w:leader="none"/>
        </w:tabs>
        <w:spacing w:line="240" w:lineRule="auto" w:before="30" w:after="0"/>
        <w:ind w:left="1168" w:right="0" w:hanging="632"/>
        <w:jc w:val="left"/>
      </w:pPr>
      <w:bookmarkStart w:name="_bookmark6" w:id="13"/>
      <w:bookmarkEnd w:id="13"/>
      <w:r>
        <w:rPr>
          <w:b w:val="0"/>
        </w:rPr>
      </w:r>
      <w:bookmarkStart w:name="_bookmark6" w:id="14"/>
      <w:bookmarkEnd w:id="14"/>
      <w:r>
        <w:rPr/>
        <w:t>核查机构及人员</w:t>
      </w:r>
    </w:p>
    <w:p>
      <w:pPr>
        <w:pStyle w:val="BodyText"/>
        <w:spacing w:line="364" w:lineRule="auto" w:before="123"/>
        <w:ind w:left="537" w:right="555" w:firstLine="559"/>
        <w:jc w:val="both"/>
      </w:pPr>
      <w:r>
        <w:rPr>
          <w:spacing w:val="-11"/>
        </w:rPr>
        <w:t>根据审核员的专业领域、技术能力、重点排放单位的规模和经营场所数量等实际情况，零碳环境指定了本次核查的核查组组成及技术</w:t>
      </w:r>
      <w:r>
        <w:rPr/>
        <w:t>复核人。</w:t>
      </w:r>
    </w:p>
    <w:p>
      <w:pPr>
        <w:pStyle w:val="BodyText"/>
        <w:spacing w:line="364" w:lineRule="auto"/>
        <w:ind w:left="537" w:right="555" w:firstLine="559"/>
        <w:jc w:val="both"/>
      </w:pPr>
      <w:r>
        <w:rPr>
          <w:spacing w:val="-9"/>
        </w:rPr>
        <w:t>核查组由两名核查员组成，对于需要现场抽样的排放单位，每个</w:t>
      </w:r>
      <w:r>
        <w:rPr>
          <w:spacing w:val="-12"/>
        </w:rPr>
        <w:t>抽样现场由一名核查员进行现场核查。并指定一名独立于核查组的技</w:t>
      </w:r>
      <w:r>
        <w:rPr>
          <w:spacing w:val="-6"/>
        </w:rPr>
        <w:t>术复核人做质量复核。核查组组成及技术复核人见表 </w:t>
      </w:r>
      <w:r>
        <w:rPr>
          <w:rFonts w:ascii="Times New Roman" w:eastAsia="Times New Roman"/>
          <w:spacing w:val="-3"/>
        </w:rPr>
        <w:t>2-1</w:t>
      </w:r>
      <w:r>
        <w:rPr/>
        <w:t>。</w:t>
      </w:r>
    </w:p>
    <w:p>
      <w:pPr>
        <w:pStyle w:val="Heading1"/>
        <w:spacing w:line="424" w:lineRule="exact"/>
        <w:ind w:left="0" w:right="20" w:firstLine="0"/>
        <w:jc w:val="center"/>
      </w:pPr>
      <w:r>
        <w:rPr/>
        <w:pict>
          <v:shape style="position:absolute;margin-left:84.239998pt;margin-top:18.1336pt;width:427.1pt;height:101.8pt;mso-position-horizontal-relative:page;mso-position-vertical-relative:paragraph;z-index:157296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
                    <w:gridCol w:w="1166"/>
                    <w:gridCol w:w="1600"/>
                    <w:gridCol w:w="5037"/>
                  </w:tblGrid>
                  <w:tr>
                    <w:trPr>
                      <w:trHeight w:val="455" w:hRule="atLeast"/>
                    </w:trPr>
                    <w:tc>
                      <w:tcPr>
                        <w:tcW w:w="722" w:type="dxa"/>
                      </w:tcPr>
                      <w:p>
                        <w:pPr>
                          <w:pStyle w:val="TableParagraph"/>
                          <w:spacing w:before="72"/>
                          <w:ind w:left="101" w:right="89"/>
                          <w:jc w:val="center"/>
                          <w:rPr>
                            <w:b/>
                            <w:sz w:val="24"/>
                          </w:rPr>
                        </w:pPr>
                        <w:r>
                          <w:rPr>
                            <w:b/>
                            <w:sz w:val="24"/>
                          </w:rPr>
                          <w:t>序号</w:t>
                        </w:r>
                      </w:p>
                    </w:tc>
                    <w:tc>
                      <w:tcPr>
                        <w:tcW w:w="1166" w:type="dxa"/>
                      </w:tcPr>
                      <w:p>
                        <w:pPr>
                          <w:pStyle w:val="TableParagraph"/>
                          <w:spacing w:before="72"/>
                          <w:ind w:left="201" w:right="191"/>
                          <w:jc w:val="center"/>
                          <w:rPr>
                            <w:b/>
                            <w:sz w:val="24"/>
                          </w:rPr>
                        </w:pPr>
                        <w:r>
                          <w:rPr>
                            <w:b/>
                            <w:sz w:val="24"/>
                          </w:rPr>
                          <w:t>姓名</w:t>
                        </w:r>
                      </w:p>
                    </w:tc>
                    <w:tc>
                      <w:tcPr>
                        <w:tcW w:w="1600" w:type="dxa"/>
                      </w:tcPr>
                      <w:p>
                        <w:pPr>
                          <w:pStyle w:val="TableParagraph"/>
                          <w:spacing w:before="72"/>
                          <w:ind w:left="179" w:right="170"/>
                          <w:jc w:val="center"/>
                          <w:rPr>
                            <w:b/>
                            <w:sz w:val="24"/>
                          </w:rPr>
                        </w:pPr>
                        <w:r>
                          <w:rPr>
                            <w:b/>
                            <w:sz w:val="24"/>
                          </w:rPr>
                          <w:t>职务</w:t>
                        </w:r>
                      </w:p>
                    </w:tc>
                    <w:tc>
                      <w:tcPr>
                        <w:tcW w:w="5037" w:type="dxa"/>
                      </w:tcPr>
                      <w:p>
                        <w:pPr>
                          <w:pStyle w:val="TableParagraph"/>
                          <w:spacing w:before="72"/>
                          <w:ind w:left="33" w:right="20"/>
                          <w:jc w:val="center"/>
                          <w:rPr>
                            <w:b/>
                            <w:sz w:val="24"/>
                          </w:rPr>
                        </w:pPr>
                        <w:r>
                          <w:rPr>
                            <w:b/>
                            <w:sz w:val="24"/>
                          </w:rPr>
                          <w:t>在审核组中的作用</w:t>
                        </w:r>
                      </w:p>
                    </w:tc>
                  </w:tr>
                  <w:tr>
                    <w:trPr>
                      <w:trHeight w:val="621" w:hRule="atLeast"/>
                    </w:trPr>
                    <w:tc>
                      <w:tcPr>
                        <w:tcW w:w="722" w:type="dxa"/>
                      </w:tcPr>
                      <w:p>
                        <w:pPr>
                          <w:pStyle w:val="TableParagraph"/>
                          <w:spacing w:before="164"/>
                          <w:ind w:left="7"/>
                          <w:jc w:val="center"/>
                          <w:rPr>
                            <w:rFonts w:ascii="Times New Roman"/>
                            <w:sz w:val="24"/>
                          </w:rPr>
                        </w:pPr>
                        <w:r>
                          <w:rPr>
                            <w:rFonts w:ascii="Times New Roman"/>
                            <w:sz w:val="24"/>
                          </w:rPr>
                          <w:t>1</w:t>
                        </w:r>
                      </w:p>
                    </w:tc>
                    <w:tc>
                      <w:tcPr>
                        <w:tcW w:w="1166" w:type="dxa"/>
                      </w:tcPr>
                      <w:p>
                        <w:pPr>
                          <w:pStyle w:val="TableParagraph"/>
                          <w:spacing w:before="155"/>
                          <w:ind w:left="201" w:right="195"/>
                          <w:jc w:val="center"/>
                          <w:rPr>
                            <w:sz w:val="24"/>
                          </w:rPr>
                        </w:pPr>
                        <w:r>
                          <w:rPr>
                            <w:sz w:val="24"/>
                          </w:rPr>
                          <w:t>陈飞</w:t>
                        </w:r>
                      </w:p>
                    </w:tc>
                    <w:tc>
                      <w:tcPr>
                        <w:tcW w:w="1600" w:type="dxa"/>
                      </w:tcPr>
                      <w:p>
                        <w:pPr>
                          <w:pStyle w:val="TableParagraph"/>
                          <w:spacing w:before="155"/>
                          <w:ind w:left="179" w:right="170"/>
                          <w:jc w:val="center"/>
                          <w:rPr>
                            <w:sz w:val="24"/>
                          </w:rPr>
                        </w:pPr>
                        <w:r>
                          <w:rPr>
                            <w:sz w:val="24"/>
                          </w:rPr>
                          <w:t>核查组组长</w:t>
                        </w:r>
                      </w:p>
                    </w:tc>
                    <w:tc>
                      <w:tcPr>
                        <w:tcW w:w="5037" w:type="dxa"/>
                      </w:tcPr>
                      <w:p>
                        <w:pPr>
                          <w:pStyle w:val="TableParagraph"/>
                          <w:ind w:left="158" w:right="20"/>
                          <w:jc w:val="center"/>
                          <w:rPr>
                            <w:sz w:val="24"/>
                          </w:rPr>
                        </w:pPr>
                        <w:r>
                          <w:rPr>
                            <w:spacing w:val="-11"/>
                            <w:sz w:val="24"/>
                          </w:rPr>
                          <w:t>主要负责项目分工、质量控制并参加现场访问，</w:t>
                        </w:r>
                      </w:p>
                      <w:p>
                        <w:pPr>
                          <w:pStyle w:val="TableParagraph"/>
                          <w:spacing w:line="289" w:lineRule="exact" w:before="4"/>
                          <w:ind w:left="31" w:right="20"/>
                          <w:jc w:val="center"/>
                          <w:rPr>
                            <w:sz w:val="24"/>
                          </w:rPr>
                        </w:pPr>
                        <w:r>
                          <w:rPr>
                            <w:sz w:val="24"/>
                          </w:rPr>
                          <w:t>撰写核查报告</w:t>
                        </w:r>
                      </w:p>
                    </w:tc>
                  </w:tr>
                  <w:tr>
                    <w:trPr>
                      <w:trHeight w:val="455" w:hRule="atLeast"/>
                    </w:trPr>
                    <w:tc>
                      <w:tcPr>
                        <w:tcW w:w="722" w:type="dxa"/>
                      </w:tcPr>
                      <w:p>
                        <w:pPr>
                          <w:pStyle w:val="TableParagraph"/>
                          <w:spacing w:before="80"/>
                          <w:ind w:left="7"/>
                          <w:jc w:val="center"/>
                          <w:rPr>
                            <w:rFonts w:ascii="Times New Roman"/>
                            <w:sz w:val="24"/>
                          </w:rPr>
                        </w:pPr>
                        <w:r>
                          <w:rPr>
                            <w:rFonts w:ascii="Times New Roman"/>
                            <w:sz w:val="24"/>
                          </w:rPr>
                          <w:t>2</w:t>
                        </w:r>
                      </w:p>
                    </w:tc>
                    <w:tc>
                      <w:tcPr>
                        <w:tcW w:w="1166" w:type="dxa"/>
                      </w:tcPr>
                      <w:p>
                        <w:pPr>
                          <w:pStyle w:val="TableParagraph"/>
                          <w:spacing w:before="72"/>
                          <w:ind w:left="201" w:right="195"/>
                          <w:jc w:val="center"/>
                          <w:rPr>
                            <w:sz w:val="24"/>
                          </w:rPr>
                        </w:pPr>
                        <w:r>
                          <w:rPr>
                            <w:sz w:val="24"/>
                          </w:rPr>
                          <w:t>王文霞</w:t>
                        </w:r>
                      </w:p>
                    </w:tc>
                    <w:tc>
                      <w:tcPr>
                        <w:tcW w:w="1600" w:type="dxa"/>
                      </w:tcPr>
                      <w:p>
                        <w:pPr>
                          <w:pStyle w:val="TableParagraph"/>
                          <w:spacing w:before="72"/>
                          <w:ind w:left="179" w:right="170"/>
                          <w:jc w:val="center"/>
                          <w:rPr>
                            <w:sz w:val="24"/>
                          </w:rPr>
                        </w:pPr>
                        <w:r>
                          <w:rPr>
                            <w:sz w:val="24"/>
                          </w:rPr>
                          <w:t>核查组成员</w:t>
                        </w:r>
                      </w:p>
                    </w:tc>
                    <w:tc>
                      <w:tcPr>
                        <w:tcW w:w="5037" w:type="dxa"/>
                      </w:tcPr>
                      <w:p>
                        <w:pPr>
                          <w:pStyle w:val="TableParagraph"/>
                          <w:spacing w:before="72"/>
                          <w:ind w:left="31" w:right="20"/>
                          <w:jc w:val="center"/>
                          <w:rPr>
                            <w:sz w:val="24"/>
                          </w:rPr>
                        </w:pPr>
                        <w:r>
                          <w:rPr>
                            <w:sz w:val="24"/>
                          </w:rPr>
                          <w:t>主要负责文件评审并参加现场访问</w:t>
                        </w:r>
                      </w:p>
                    </w:tc>
                  </w:tr>
                  <w:tr>
                    <w:trPr>
                      <w:trHeight w:val="453" w:hRule="atLeast"/>
                    </w:trPr>
                    <w:tc>
                      <w:tcPr>
                        <w:tcW w:w="722" w:type="dxa"/>
                      </w:tcPr>
                      <w:p>
                        <w:pPr>
                          <w:pStyle w:val="TableParagraph"/>
                          <w:spacing w:before="80"/>
                          <w:ind w:left="7"/>
                          <w:jc w:val="center"/>
                          <w:rPr>
                            <w:rFonts w:ascii="Times New Roman"/>
                            <w:sz w:val="24"/>
                          </w:rPr>
                        </w:pPr>
                        <w:r>
                          <w:rPr>
                            <w:rFonts w:ascii="Times New Roman"/>
                            <w:sz w:val="24"/>
                          </w:rPr>
                          <w:t>3</w:t>
                        </w:r>
                      </w:p>
                    </w:tc>
                    <w:tc>
                      <w:tcPr>
                        <w:tcW w:w="1166" w:type="dxa"/>
                      </w:tcPr>
                      <w:p>
                        <w:pPr>
                          <w:pStyle w:val="TableParagraph"/>
                          <w:spacing w:before="69"/>
                          <w:ind w:left="201" w:right="195"/>
                          <w:jc w:val="center"/>
                          <w:rPr>
                            <w:sz w:val="24"/>
                          </w:rPr>
                        </w:pPr>
                        <w:r>
                          <w:rPr>
                            <w:sz w:val="24"/>
                          </w:rPr>
                          <w:t>于慧敏</w:t>
                        </w:r>
                      </w:p>
                    </w:tc>
                    <w:tc>
                      <w:tcPr>
                        <w:tcW w:w="1600" w:type="dxa"/>
                      </w:tcPr>
                      <w:p>
                        <w:pPr>
                          <w:pStyle w:val="TableParagraph"/>
                          <w:spacing w:before="69"/>
                          <w:ind w:left="179" w:right="170"/>
                          <w:jc w:val="center"/>
                          <w:rPr>
                            <w:sz w:val="24"/>
                          </w:rPr>
                        </w:pPr>
                        <w:r>
                          <w:rPr>
                            <w:sz w:val="24"/>
                          </w:rPr>
                          <w:t>技术复核</w:t>
                        </w:r>
                      </w:p>
                    </w:tc>
                    <w:tc>
                      <w:tcPr>
                        <w:tcW w:w="5037" w:type="dxa"/>
                      </w:tcPr>
                      <w:p>
                        <w:pPr>
                          <w:pStyle w:val="TableParagraph"/>
                          <w:spacing w:before="69"/>
                          <w:ind w:left="31" w:right="20"/>
                          <w:jc w:val="center"/>
                          <w:rPr>
                            <w:sz w:val="24"/>
                          </w:rPr>
                        </w:pPr>
                        <w:r>
                          <w:rPr>
                            <w:sz w:val="24"/>
                          </w:rPr>
                          <w:t>质量复核</w:t>
                        </w:r>
                      </w:p>
                    </w:tc>
                  </w:tr>
                </w:tbl>
                <w:p>
                  <w:pPr>
                    <w:pStyle w:val="BodyText"/>
                  </w:pPr>
                </w:p>
              </w:txbxContent>
            </v:textbox>
            <w10:wrap type="none"/>
          </v:shape>
        </w:pict>
      </w:r>
      <w:r>
        <w:rPr/>
        <w:t>表 </w:t>
      </w:r>
      <w:r>
        <w:rPr>
          <w:rFonts w:ascii="Times New Roman" w:eastAsia="Times New Roman"/>
        </w:rPr>
        <w:t>2-1 </w:t>
      </w:r>
      <w:r>
        <w:rPr/>
        <w:t>核查组成员及技术复核人员表</w:t>
      </w:r>
    </w:p>
    <w:p>
      <w:pPr>
        <w:spacing w:after="0" w:line="424" w:lineRule="exact"/>
        <w:jc w:val="center"/>
        <w:sectPr>
          <w:pgSz w:w="11910" w:h="16840"/>
          <w:pgMar w:header="872" w:footer="997" w:top="1360" w:bottom="1180" w:left="1260" w:right="1240"/>
        </w:sectPr>
      </w:pPr>
    </w:p>
    <w:p>
      <w:pPr>
        <w:pStyle w:val="Heading1"/>
        <w:numPr>
          <w:ilvl w:val="2"/>
          <w:numId w:val="5"/>
        </w:numPr>
        <w:tabs>
          <w:tab w:pos="1169" w:val="left" w:leader="none"/>
        </w:tabs>
        <w:spacing w:line="483" w:lineRule="exact" w:before="0" w:after="0"/>
        <w:ind w:left="1168" w:right="0" w:hanging="632"/>
        <w:jc w:val="left"/>
      </w:pPr>
      <w:bookmarkStart w:name="_bookmark7" w:id="15"/>
      <w:bookmarkEnd w:id="15"/>
      <w:r>
        <w:rPr>
          <w:b w:val="0"/>
        </w:rPr>
      </w:r>
      <w:bookmarkStart w:name="_bookmark7" w:id="16"/>
      <w:bookmarkEnd w:id="16"/>
      <w:r>
        <w:rPr/>
        <w:t>核查时间安排</w:t>
      </w:r>
    </w:p>
    <w:p>
      <w:pPr>
        <w:pStyle w:val="BodyText"/>
        <w:spacing w:before="122"/>
        <w:ind w:left="1096"/>
      </w:pPr>
      <w:r>
        <w:rPr/>
        <w:t>此次核查任务的时间安排如下表 </w:t>
      </w:r>
      <w:r>
        <w:rPr>
          <w:rFonts w:ascii="Times New Roman" w:eastAsia="Times New Roman"/>
        </w:rPr>
        <w:t>2-2 </w:t>
      </w:r>
      <w:r>
        <w:rPr/>
        <w:t>所示。</w:t>
      </w:r>
    </w:p>
    <w:p>
      <w:pPr>
        <w:pStyle w:val="Heading1"/>
        <w:spacing w:before="96"/>
        <w:ind w:left="0" w:right="17" w:firstLine="0"/>
        <w:jc w:val="center"/>
      </w:pPr>
      <w:r>
        <w:rPr/>
        <w:pict>
          <v:shape style="position:absolute;margin-left:84.239998pt;margin-top:27.501118pt;width:427.1pt;height:139.7pt;mso-position-horizontal-relative:page;mso-position-vertical-relative:paragraph;z-index:15730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6"/>
                    <w:gridCol w:w="5431"/>
                  </w:tblGrid>
                  <w:tr>
                    <w:trPr>
                      <w:trHeight w:val="455" w:hRule="atLeast"/>
                    </w:trPr>
                    <w:tc>
                      <w:tcPr>
                        <w:tcW w:w="3096" w:type="dxa"/>
                      </w:tcPr>
                      <w:p>
                        <w:pPr>
                          <w:pStyle w:val="TableParagraph"/>
                          <w:spacing w:before="72"/>
                          <w:ind w:left="536" w:right="527"/>
                          <w:jc w:val="center"/>
                          <w:rPr>
                            <w:b/>
                            <w:sz w:val="24"/>
                          </w:rPr>
                        </w:pPr>
                        <w:r>
                          <w:rPr>
                            <w:b/>
                            <w:sz w:val="24"/>
                          </w:rPr>
                          <w:t>日期</w:t>
                        </w:r>
                      </w:p>
                    </w:tc>
                    <w:tc>
                      <w:tcPr>
                        <w:tcW w:w="5431" w:type="dxa"/>
                      </w:tcPr>
                      <w:p>
                        <w:pPr>
                          <w:pStyle w:val="TableParagraph"/>
                          <w:spacing w:before="72"/>
                          <w:ind w:left="1734" w:right="1725"/>
                          <w:jc w:val="center"/>
                          <w:rPr>
                            <w:b/>
                            <w:sz w:val="24"/>
                          </w:rPr>
                        </w:pPr>
                        <w:r>
                          <w:rPr>
                            <w:b/>
                            <w:sz w:val="24"/>
                          </w:rPr>
                          <w:t>时间安排</w:t>
                        </w:r>
                      </w:p>
                    </w:tc>
                  </w:tr>
                  <w:tr>
                    <w:trPr>
                      <w:trHeight w:val="453" w:hRule="atLeast"/>
                    </w:trPr>
                    <w:tc>
                      <w:tcPr>
                        <w:tcW w:w="3096" w:type="dxa"/>
                      </w:tcPr>
                      <w:p>
                        <w:pPr>
                          <w:pStyle w:val="TableParagraph"/>
                          <w:spacing w:before="69"/>
                          <w:ind w:left="536" w:right="529"/>
                          <w:jc w:val="center"/>
                          <w:rPr>
                            <w:sz w:val="24"/>
                          </w:rPr>
                        </w:pPr>
                        <w:r>
                          <w:rPr>
                            <w:rFonts w:ascii="Times New Roman" w:eastAsia="Times New Roman"/>
                            <w:sz w:val="24"/>
                          </w:rPr>
                          <w:t>2022 </w:t>
                        </w:r>
                        <w:r>
                          <w:rPr>
                            <w:sz w:val="24"/>
                          </w:rPr>
                          <w:t>年 </w:t>
                        </w:r>
                        <w:r>
                          <w:rPr>
                            <w:rFonts w:ascii="Times New Roman" w:eastAsia="Times New Roman"/>
                            <w:sz w:val="24"/>
                          </w:rPr>
                          <w:t>3 </w:t>
                        </w:r>
                        <w:r>
                          <w:rPr>
                            <w:sz w:val="24"/>
                          </w:rPr>
                          <w:t>月 </w:t>
                        </w:r>
                        <w:r>
                          <w:rPr>
                            <w:rFonts w:ascii="Times New Roman" w:eastAsia="Times New Roman"/>
                            <w:sz w:val="24"/>
                          </w:rPr>
                          <w:t>8 </w:t>
                        </w:r>
                        <w:r>
                          <w:rPr>
                            <w:sz w:val="24"/>
                          </w:rPr>
                          <w:t>日</w:t>
                        </w:r>
                      </w:p>
                    </w:tc>
                    <w:tc>
                      <w:tcPr>
                        <w:tcW w:w="5431" w:type="dxa"/>
                      </w:tcPr>
                      <w:p>
                        <w:pPr>
                          <w:pStyle w:val="TableParagraph"/>
                          <w:spacing w:before="69"/>
                          <w:ind w:left="1734" w:right="1727"/>
                          <w:jc w:val="center"/>
                          <w:rPr>
                            <w:sz w:val="24"/>
                          </w:rPr>
                        </w:pPr>
                        <w:r>
                          <w:rPr>
                            <w:sz w:val="24"/>
                          </w:rPr>
                          <w:t>文件评审</w:t>
                        </w:r>
                      </w:p>
                    </w:tc>
                  </w:tr>
                  <w:tr>
                    <w:trPr>
                      <w:trHeight w:val="453" w:hRule="atLeast"/>
                    </w:trPr>
                    <w:tc>
                      <w:tcPr>
                        <w:tcW w:w="3096" w:type="dxa"/>
                      </w:tcPr>
                      <w:p>
                        <w:pPr>
                          <w:pStyle w:val="TableParagraph"/>
                          <w:spacing w:before="72"/>
                          <w:ind w:left="536" w:right="529"/>
                          <w:jc w:val="center"/>
                          <w:rPr>
                            <w:sz w:val="24"/>
                          </w:rPr>
                        </w:pPr>
                        <w:r>
                          <w:rPr>
                            <w:rFonts w:ascii="Times New Roman" w:eastAsia="Times New Roman"/>
                            <w:sz w:val="24"/>
                          </w:rPr>
                          <w:t>2022 </w:t>
                        </w:r>
                        <w:r>
                          <w:rPr>
                            <w:sz w:val="24"/>
                          </w:rPr>
                          <w:t>年 </w:t>
                        </w:r>
                        <w:r>
                          <w:rPr>
                            <w:rFonts w:ascii="Times New Roman" w:eastAsia="Times New Roman"/>
                            <w:sz w:val="24"/>
                          </w:rPr>
                          <w:t>3 </w:t>
                        </w:r>
                        <w:r>
                          <w:rPr>
                            <w:sz w:val="24"/>
                          </w:rPr>
                          <w:t>月 </w:t>
                        </w:r>
                        <w:r>
                          <w:rPr>
                            <w:rFonts w:ascii="Times New Roman" w:eastAsia="Times New Roman"/>
                            <w:sz w:val="24"/>
                          </w:rPr>
                          <w:t>10 </w:t>
                        </w:r>
                        <w:r>
                          <w:rPr>
                            <w:sz w:val="24"/>
                          </w:rPr>
                          <w:t>日</w:t>
                        </w:r>
                      </w:p>
                    </w:tc>
                    <w:tc>
                      <w:tcPr>
                        <w:tcW w:w="5431" w:type="dxa"/>
                      </w:tcPr>
                      <w:p>
                        <w:pPr>
                          <w:pStyle w:val="TableParagraph"/>
                          <w:spacing w:before="72"/>
                          <w:ind w:left="1734" w:right="1727"/>
                          <w:jc w:val="center"/>
                          <w:rPr>
                            <w:sz w:val="24"/>
                          </w:rPr>
                        </w:pPr>
                        <w:r>
                          <w:rPr>
                            <w:sz w:val="24"/>
                          </w:rPr>
                          <w:t>现场核查</w:t>
                        </w:r>
                      </w:p>
                    </w:tc>
                  </w:tr>
                  <w:tr>
                    <w:trPr>
                      <w:trHeight w:val="455" w:hRule="atLeast"/>
                    </w:trPr>
                    <w:tc>
                      <w:tcPr>
                        <w:tcW w:w="3096" w:type="dxa"/>
                      </w:tcPr>
                      <w:p>
                        <w:pPr>
                          <w:pStyle w:val="TableParagraph"/>
                          <w:spacing w:before="72"/>
                          <w:ind w:left="536" w:right="529"/>
                          <w:jc w:val="center"/>
                          <w:rPr>
                            <w:sz w:val="24"/>
                          </w:rPr>
                        </w:pPr>
                        <w:r>
                          <w:rPr>
                            <w:rFonts w:ascii="Times New Roman" w:eastAsia="Times New Roman"/>
                            <w:sz w:val="24"/>
                          </w:rPr>
                          <w:t>2022 </w:t>
                        </w:r>
                        <w:r>
                          <w:rPr>
                            <w:sz w:val="24"/>
                          </w:rPr>
                          <w:t>年 </w:t>
                        </w:r>
                        <w:r>
                          <w:rPr>
                            <w:rFonts w:ascii="Times New Roman" w:eastAsia="Times New Roman"/>
                            <w:sz w:val="24"/>
                          </w:rPr>
                          <w:t>3 </w:t>
                        </w:r>
                        <w:r>
                          <w:rPr>
                            <w:sz w:val="24"/>
                          </w:rPr>
                          <w:t>月 </w:t>
                        </w:r>
                        <w:r>
                          <w:rPr>
                            <w:rFonts w:ascii="Times New Roman" w:eastAsia="Times New Roman"/>
                            <w:sz w:val="24"/>
                          </w:rPr>
                          <w:t>22 </w:t>
                        </w:r>
                        <w:r>
                          <w:rPr>
                            <w:sz w:val="24"/>
                          </w:rPr>
                          <w:t>日</w:t>
                        </w:r>
                      </w:p>
                    </w:tc>
                    <w:tc>
                      <w:tcPr>
                        <w:tcW w:w="5431" w:type="dxa"/>
                      </w:tcPr>
                      <w:p>
                        <w:pPr>
                          <w:pStyle w:val="TableParagraph"/>
                          <w:spacing w:before="72"/>
                          <w:ind w:left="1734" w:right="1727"/>
                          <w:jc w:val="center"/>
                          <w:rPr>
                            <w:sz w:val="24"/>
                          </w:rPr>
                        </w:pPr>
                        <w:r>
                          <w:rPr>
                            <w:sz w:val="24"/>
                          </w:rPr>
                          <w:t>完成核查报告初稿</w:t>
                        </w:r>
                      </w:p>
                    </w:tc>
                  </w:tr>
                  <w:tr>
                    <w:trPr>
                      <w:trHeight w:val="453" w:hRule="atLeast"/>
                    </w:trPr>
                    <w:tc>
                      <w:tcPr>
                        <w:tcW w:w="3096" w:type="dxa"/>
                      </w:tcPr>
                      <w:p>
                        <w:pPr>
                          <w:pStyle w:val="TableParagraph"/>
                          <w:spacing w:before="69"/>
                          <w:ind w:left="536" w:right="529"/>
                          <w:jc w:val="center"/>
                          <w:rPr>
                            <w:sz w:val="24"/>
                          </w:rPr>
                        </w:pPr>
                        <w:r>
                          <w:rPr>
                            <w:rFonts w:ascii="Times New Roman" w:eastAsia="Times New Roman"/>
                            <w:sz w:val="24"/>
                          </w:rPr>
                          <w:t>2022 </w:t>
                        </w:r>
                        <w:r>
                          <w:rPr>
                            <w:sz w:val="24"/>
                          </w:rPr>
                          <w:t>年 </w:t>
                        </w:r>
                        <w:r>
                          <w:rPr>
                            <w:rFonts w:ascii="Times New Roman" w:eastAsia="Times New Roman"/>
                            <w:sz w:val="24"/>
                          </w:rPr>
                          <w:t>3 </w:t>
                        </w:r>
                        <w:r>
                          <w:rPr>
                            <w:sz w:val="24"/>
                          </w:rPr>
                          <w:t>月 </w:t>
                        </w:r>
                        <w:r>
                          <w:rPr>
                            <w:rFonts w:ascii="Times New Roman" w:eastAsia="Times New Roman"/>
                            <w:sz w:val="24"/>
                          </w:rPr>
                          <w:t>23 </w:t>
                        </w:r>
                        <w:r>
                          <w:rPr>
                            <w:sz w:val="24"/>
                          </w:rPr>
                          <w:t>日</w:t>
                        </w:r>
                      </w:p>
                    </w:tc>
                    <w:tc>
                      <w:tcPr>
                        <w:tcW w:w="5431" w:type="dxa"/>
                      </w:tcPr>
                      <w:p>
                        <w:pPr>
                          <w:pStyle w:val="TableParagraph"/>
                          <w:spacing w:before="69"/>
                          <w:ind w:left="1734" w:right="1727"/>
                          <w:jc w:val="center"/>
                          <w:rPr>
                            <w:sz w:val="24"/>
                          </w:rPr>
                        </w:pPr>
                        <w:r>
                          <w:rPr>
                            <w:sz w:val="24"/>
                          </w:rPr>
                          <w:t>技术复核</w:t>
                        </w:r>
                      </w:p>
                    </w:tc>
                  </w:tr>
                  <w:tr>
                    <w:trPr>
                      <w:trHeight w:val="453" w:hRule="atLeast"/>
                    </w:trPr>
                    <w:tc>
                      <w:tcPr>
                        <w:tcW w:w="3096" w:type="dxa"/>
                      </w:tcPr>
                      <w:p>
                        <w:pPr>
                          <w:pStyle w:val="TableParagraph"/>
                          <w:spacing w:before="72"/>
                          <w:ind w:left="536" w:right="529"/>
                          <w:jc w:val="center"/>
                          <w:rPr>
                            <w:sz w:val="24"/>
                          </w:rPr>
                        </w:pPr>
                        <w:r>
                          <w:rPr>
                            <w:rFonts w:ascii="Times New Roman" w:eastAsia="Times New Roman"/>
                            <w:sz w:val="24"/>
                          </w:rPr>
                          <w:t>2022 </w:t>
                        </w:r>
                        <w:r>
                          <w:rPr>
                            <w:sz w:val="24"/>
                          </w:rPr>
                          <w:t>年 </w:t>
                        </w:r>
                        <w:r>
                          <w:rPr>
                            <w:rFonts w:ascii="Times New Roman" w:eastAsia="Times New Roman"/>
                            <w:sz w:val="24"/>
                          </w:rPr>
                          <w:t>3 </w:t>
                        </w:r>
                        <w:r>
                          <w:rPr>
                            <w:sz w:val="24"/>
                          </w:rPr>
                          <w:t>月 </w:t>
                        </w:r>
                        <w:r>
                          <w:rPr>
                            <w:rFonts w:ascii="Times New Roman" w:eastAsia="Times New Roman"/>
                            <w:sz w:val="24"/>
                          </w:rPr>
                          <w:t>25 </w:t>
                        </w:r>
                        <w:r>
                          <w:rPr>
                            <w:sz w:val="24"/>
                          </w:rPr>
                          <w:t>日</w:t>
                        </w:r>
                      </w:p>
                    </w:tc>
                    <w:tc>
                      <w:tcPr>
                        <w:tcW w:w="5431" w:type="dxa"/>
                      </w:tcPr>
                      <w:p>
                        <w:pPr>
                          <w:pStyle w:val="TableParagraph"/>
                          <w:spacing w:before="72"/>
                          <w:ind w:left="1734" w:right="1727"/>
                          <w:jc w:val="center"/>
                          <w:rPr>
                            <w:sz w:val="24"/>
                          </w:rPr>
                        </w:pPr>
                        <w:r>
                          <w:rPr>
                            <w:sz w:val="24"/>
                          </w:rPr>
                          <w:t>核查报告签发</w:t>
                        </w:r>
                      </w:p>
                    </w:tc>
                  </w:tr>
                </w:tbl>
                <w:p>
                  <w:pPr>
                    <w:pStyle w:val="BodyText"/>
                  </w:pPr>
                </w:p>
              </w:txbxContent>
            </v:textbox>
            <w10:wrap type="none"/>
          </v:shape>
        </w:pict>
      </w:r>
      <w:r>
        <w:rPr/>
        <w:t>表 </w:t>
      </w:r>
      <w:r>
        <w:rPr>
          <w:rFonts w:ascii="Times New Roman" w:eastAsia="Times New Roman"/>
        </w:rPr>
        <w:t>2-2 </w:t>
      </w:r>
      <w:r>
        <w:rPr/>
        <w:t>核查时间安排表</w:t>
      </w:r>
    </w:p>
    <w:p>
      <w:pPr>
        <w:pStyle w:val="BodyText"/>
        <w:rPr>
          <w:rFonts w:ascii="Microsoft JhengHei"/>
          <w:b/>
          <w:sz w:val="30"/>
        </w:rPr>
      </w:pPr>
    </w:p>
    <w:p>
      <w:pPr>
        <w:pStyle w:val="BodyText"/>
        <w:rPr>
          <w:rFonts w:ascii="Microsoft JhengHei"/>
          <w:b/>
          <w:sz w:val="30"/>
        </w:rPr>
      </w:pPr>
    </w:p>
    <w:p>
      <w:pPr>
        <w:pStyle w:val="BodyText"/>
        <w:rPr>
          <w:rFonts w:ascii="Microsoft JhengHei"/>
          <w:b/>
          <w:sz w:val="30"/>
        </w:rPr>
      </w:pPr>
    </w:p>
    <w:p>
      <w:pPr>
        <w:pStyle w:val="BodyText"/>
        <w:rPr>
          <w:rFonts w:ascii="Microsoft JhengHei"/>
          <w:b/>
          <w:sz w:val="30"/>
        </w:rPr>
      </w:pPr>
    </w:p>
    <w:p>
      <w:pPr>
        <w:pStyle w:val="BodyText"/>
        <w:spacing w:before="9"/>
        <w:rPr>
          <w:rFonts w:ascii="Microsoft JhengHei"/>
          <w:b/>
          <w:sz w:val="23"/>
        </w:rPr>
      </w:pPr>
    </w:p>
    <w:p>
      <w:pPr>
        <w:pStyle w:val="Heading1"/>
        <w:numPr>
          <w:ilvl w:val="1"/>
          <w:numId w:val="4"/>
        </w:numPr>
        <w:tabs>
          <w:tab w:pos="958" w:val="left" w:leader="none"/>
        </w:tabs>
        <w:spacing w:line="240" w:lineRule="auto" w:before="0" w:after="0"/>
        <w:ind w:left="957" w:right="0" w:hanging="421"/>
        <w:jc w:val="left"/>
      </w:pPr>
      <w:bookmarkStart w:name="_bookmark8" w:id="17"/>
      <w:bookmarkEnd w:id="17"/>
      <w:r>
        <w:rPr>
          <w:b w:val="0"/>
        </w:rPr>
      </w:r>
      <w:bookmarkStart w:name="_bookmark8" w:id="18"/>
      <w:bookmarkEnd w:id="18"/>
      <w:r>
        <w:rPr/>
        <w:t>文件评审</w:t>
      </w:r>
    </w:p>
    <w:p>
      <w:pPr>
        <w:pStyle w:val="BodyText"/>
        <w:spacing w:line="364" w:lineRule="auto" w:before="122"/>
        <w:ind w:left="537" w:right="553" w:firstLine="559"/>
      </w:pPr>
      <w:r>
        <w:rPr>
          <w:spacing w:val="-11"/>
        </w:rPr>
        <w:t>根据《排放监测计划审核和排放报告核查参考指南》，核查组对</w:t>
      </w:r>
      <w:r>
        <w:rPr>
          <w:spacing w:val="-3"/>
        </w:rPr>
        <w:t>如下文件进行了文件评审：</w:t>
      </w:r>
    </w:p>
    <w:p>
      <w:pPr>
        <w:pStyle w:val="BodyText"/>
        <w:spacing w:line="364" w:lineRule="auto"/>
        <w:ind w:left="1097" w:right="488"/>
      </w:pPr>
      <w:r>
        <w:rPr>
          <w:rFonts w:ascii="Times New Roman" w:hAnsi="Times New Roman" w:eastAsia="Times New Roman"/>
        </w:rPr>
        <w:t>1</w:t>
      </w:r>
      <w:r>
        <w:rPr/>
        <w:t>）排放单位提供的支持性文件，详见核查报告</w:t>
      </w:r>
      <w:r>
        <w:rPr>
          <w:rFonts w:ascii="Times New Roman" w:hAnsi="Times New Roman" w:eastAsia="Times New Roman"/>
        </w:rPr>
        <w:t>“</w:t>
      </w:r>
      <w:r>
        <w:rPr/>
        <w:t>参考文件</w:t>
      </w:r>
      <w:r>
        <w:rPr>
          <w:rFonts w:ascii="Times New Roman" w:hAnsi="Times New Roman" w:eastAsia="Times New Roman"/>
        </w:rPr>
        <w:t>”</w:t>
      </w:r>
      <w:r>
        <w:rPr/>
        <w:t>。 核查组通过评审以上文件，识别出现场核查的重点为：现场查看</w:t>
      </w:r>
    </w:p>
    <w:p>
      <w:pPr>
        <w:pStyle w:val="BodyText"/>
        <w:spacing w:line="364" w:lineRule="auto"/>
        <w:ind w:left="537" w:right="552"/>
        <w:jc w:val="both"/>
      </w:pPr>
      <w:r>
        <w:rPr>
          <w:spacing w:val="-7"/>
        </w:rPr>
        <w:t>排放单位的实际排放设施和计量设备是否和排放报告中的一致；现场</w:t>
      </w:r>
      <w:r>
        <w:rPr>
          <w:spacing w:val="-12"/>
        </w:rPr>
        <w:t>查阅排放单位的支持性文件，通过交叉核对判断初始排放报告中的活动水平和排放因子数据是否真实、可靠、正确。核查组在评审初始排</w:t>
      </w:r>
      <w:r>
        <w:rPr>
          <w:spacing w:val="-11"/>
        </w:rPr>
        <w:t>放报告及最终排放报告的基础上形成核查发现及结论，并编制本核查报告。</w:t>
      </w:r>
    </w:p>
    <w:p>
      <w:pPr>
        <w:pStyle w:val="Heading1"/>
        <w:numPr>
          <w:ilvl w:val="1"/>
          <w:numId w:val="4"/>
        </w:numPr>
        <w:tabs>
          <w:tab w:pos="958" w:val="left" w:leader="none"/>
        </w:tabs>
        <w:spacing w:line="420" w:lineRule="exact" w:before="0" w:after="0"/>
        <w:ind w:left="957" w:right="0" w:hanging="421"/>
        <w:jc w:val="left"/>
      </w:pPr>
      <w:bookmarkStart w:name="_bookmark9" w:id="19"/>
      <w:bookmarkEnd w:id="19"/>
      <w:r>
        <w:rPr>
          <w:b w:val="0"/>
        </w:rPr>
      </w:r>
      <w:bookmarkStart w:name="_bookmark9" w:id="20"/>
      <w:bookmarkEnd w:id="20"/>
      <w:r>
        <w:rPr/>
        <w:t>现场核查</w:t>
      </w:r>
    </w:p>
    <w:p>
      <w:pPr>
        <w:pStyle w:val="BodyText"/>
        <w:spacing w:line="364" w:lineRule="auto" w:before="121"/>
        <w:ind w:left="537" w:right="544" w:firstLine="559"/>
        <w:jc w:val="both"/>
      </w:pPr>
      <w:r>
        <w:rPr>
          <w:spacing w:val="-14"/>
        </w:rPr>
        <w:t>核查组于 </w:t>
      </w:r>
      <w:r>
        <w:rPr>
          <w:rFonts w:ascii="Times New Roman" w:eastAsia="Times New Roman"/>
        </w:rPr>
        <w:t>2022 </w:t>
      </w:r>
      <w:r>
        <w:rPr>
          <w:spacing w:val="-34"/>
        </w:rPr>
        <w:t>年 </w:t>
      </w:r>
      <w:r>
        <w:rPr>
          <w:rFonts w:ascii="Times New Roman" w:eastAsia="Times New Roman"/>
        </w:rPr>
        <w:t>3 </w:t>
      </w:r>
      <w:r>
        <w:rPr>
          <w:spacing w:val="-35"/>
        </w:rPr>
        <w:t>月 </w:t>
      </w:r>
      <w:r>
        <w:rPr>
          <w:rFonts w:ascii="Times New Roman" w:eastAsia="Times New Roman"/>
        </w:rPr>
        <w:t>10 </w:t>
      </w:r>
      <w:r>
        <w:rPr>
          <w:spacing w:val="-10"/>
        </w:rPr>
        <w:t>日对排放单位进行了现场核查。现场核</w:t>
      </w:r>
      <w:r>
        <w:rPr>
          <w:spacing w:val="4"/>
        </w:rPr>
        <w:t>查的流程主要包括首次会议、收集和查看现场前未提供的支持性材</w:t>
      </w:r>
      <w:r>
        <w:rPr>
          <w:spacing w:val="-10"/>
        </w:rPr>
        <w:t>料、现场查看相关排放设施及测量设备、与排放单位进行访谈、核查</w:t>
      </w:r>
      <w:r>
        <w:rPr>
          <w:spacing w:val="-14"/>
        </w:rPr>
        <w:t>组内部讨论、末次会议 </w:t>
      </w:r>
      <w:r>
        <w:rPr>
          <w:rFonts w:ascii="Times New Roman" w:eastAsia="Times New Roman"/>
        </w:rPr>
        <w:t>6 </w:t>
      </w:r>
      <w:r>
        <w:rPr>
          <w:spacing w:val="-8"/>
        </w:rPr>
        <w:t>个子步骤。现场核查的时间、对象及主要内</w:t>
      </w:r>
      <w:r>
        <w:rPr>
          <w:spacing w:val="-5"/>
        </w:rPr>
        <w:t>容如下表所示：</w:t>
      </w:r>
    </w:p>
    <w:p>
      <w:pPr>
        <w:spacing w:after="0" w:line="364" w:lineRule="auto"/>
        <w:jc w:val="both"/>
        <w:sectPr>
          <w:pgSz w:w="11910" w:h="16840"/>
          <w:pgMar w:header="872" w:footer="997" w:top="1360" w:bottom="1180" w:left="1260" w:right="1240"/>
        </w:sectPr>
      </w:pPr>
    </w:p>
    <w:p>
      <w:pPr>
        <w:pStyle w:val="Heading1"/>
        <w:spacing w:line="485" w:lineRule="exact"/>
        <w:ind w:left="0" w:right="17" w:firstLine="0"/>
        <w:jc w:val="center"/>
      </w:pPr>
      <w:r>
        <w:rPr/>
        <w:pict>
          <v:shape style="position:absolute;margin-left:84.239998pt;margin-top:21.211231pt;width:427.1pt;height:360pt;mso-position-horizontal-relative:page;mso-position-vertical-relative:paragraph;z-index:157306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2"/>
                    <w:gridCol w:w="1310"/>
                    <w:gridCol w:w="1600"/>
                    <w:gridCol w:w="4163"/>
                  </w:tblGrid>
                  <w:tr>
                    <w:trPr>
                      <w:trHeight w:val="935" w:hRule="atLeast"/>
                    </w:trPr>
                    <w:tc>
                      <w:tcPr>
                        <w:tcW w:w="1452" w:type="dxa"/>
                      </w:tcPr>
                      <w:p>
                        <w:pPr>
                          <w:pStyle w:val="TableParagraph"/>
                          <w:spacing w:before="4"/>
                          <w:rPr>
                            <w:rFonts w:ascii="宋体"/>
                            <w:sz w:val="24"/>
                          </w:rPr>
                        </w:pPr>
                      </w:p>
                      <w:p>
                        <w:pPr>
                          <w:pStyle w:val="TableParagraph"/>
                          <w:ind w:left="484"/>
                          <w:rPr>
                            <w:sz w:val="24"/>
                          </w:rPr>
                        </w:pPr>
                        <w:r>
                          <w:rPr>
                            <w:sz w:val="24"/>
                          </w:rPr>
                          <w:t>时间</w:t>
                        </w:r>
                      </w:p>
                    </w:tc>
                    <w:tc>
                      <w:tcPr>
                        <w:tcW w:w="1310" w:type="dxa"/>
                      </w:tcPr>
                      <w:p>
                        <w:pPr>
                          <w:pStyle w:val="TableParagraph"/>
                          <w:spacing w:line="307" w:lineRule="exact"/>
                          <w:ind w:left="172"/>
                          <w:rPr>
                            <w:sz w:val="24"/>
                          </w:rPr>
                        </w:pPr>
                        <w:r>
                          <w:rPr>
                            <w:sz w:val="24"/>
                          </w:rPr>
                          <w:t>访谈对象</w:t>
                        </w:r>
                      </w:p>
                      <w:p>
                        <w:pPr>
                          <w:pStyle w:val="TableParagraph"/>
                          <w:spacing w:line="310" w:lineRule="atLeast" w:before="2"/>
                          <w:ind w:left="292" w:right="165" w:hanging="120"/>
                          <w:rPr>
                            <w:sz w:val="24"/>
                          </w:rPr>
                        </w:pPr>
                        <w:r>
                          <w:rPr>
                            <w:sz w:val="24"/>
                          </w:rPr>
                          <w:t>（</w:t>
                        </w:r>
                        <w:r>
                          <w:rPr>
                            <w:spacing w:val="-6"/>
                            <w:sz w:val="24"/>
                          </w:rPr>
                          <w:t>姓名／ </w:t>
                        </w:r>
                        <w:r>
                          <w:rPr>
                            <w:sz w:val="24"/>
                          </w:rPr>
                          <w:t>职位）</w:t>
                        </w:r>
                      </w:p>
                    </w:tc>
                    <w:tc>
                      <w:tcPr>
                        <w:tcW w:w="1600" w:type="dxa"/>
                      </w:tcPr>
                      <w:p>
                        <w:pPr>
                          <w:pStyle w:val="TableParagraph"/>
                          <w:spacing w:before="4"/>
                          <w:rPr>
                            <w:rFonts w:ascii="宋体"/>
                            <w:sz w:val="24"/>
                          </w:rPr>
                        </w:pPr>
                      </w:p>
                      <w:p>
                        <w:pPr>
                          <w:pStyle w:val="TableParagraph"/>
                          <w:ind w:left="178" w:right="170"/>
                          <w:jc w:val="center"/>
                          <w:rPr>
                            <w:sz w:val="24"/>
                          </w:rPr>
                        </w:pPr>
                        <w:r>
                          <w:rPr>
                            <w:sz w:val="24"/>
                          </w:rPr>
                          <w:t>部门</w:t>
                        </w:r>
                      </w:p>
                    </w:tc>
                    <w:tc>
                      <w:tcPr>
                        <w:tcW w:w="4163" w:type="dxa"/>
                      </w:tcPr>
                      <w:p>
                        <w:pPr>
                          <w:pStyle w:val="TableParagraph"/>
                          <w:spacing w:before="4"/>
                          <w:rPr>
                            <w:rFonts w:ascii="宋体"/>
                            <w:sz w:val="24"/>
                          </w:rPr>
                        </w:pPr>
                      </w:p>
                      <w:p>
                        <w:pPr>
                          <w:pStyle w:val="TableParagraph"/>
                          <w:ind w:left="90" w:right="80"/>
                          <w:jc w:val="center"/>
                          <w:rPr>
                            <w:sz w:val="24"/>
                          </w:rPr>
                        </w:pPr>
                        <w:r>
                          <w:rPr>
                            <w:sz w:val="24"/>
                          </w:rPr>
                          <w:t>访谈内容</w:t>
                        </w:r>
                      </w:p>
                    </w:tc>
                  </w:tr>
                  <w:tr>
                    <w:trPr>
                      <w:trHeight w:val="927" w:hRule="atLeast"/>
                    </w:trPr>
                    <w:tc>
                      <w:tcPr>
                        <w:tcW w:w="1452" w:type="dxa"/>
                        <w:tcBorders>
                          <w:bottom w:val="nil"/>
                        </w:tcBorders>
                      </w:tcPr>
                      <w:p>
                        <w:pPr>
                          <w:pStyle w:val="TableParagraph"/>
                          <w:rPr>
                            <w:rFonts w:ascii="Times New Roman"/>
                            <w:sz w:val="24"/>
                          </w:rPr>
                        </w:pPr>
                      </w:p>
                    </w:tc>
                    <w:tc>
                      <w:tcPr>
                        <w:tcW w:w="1310" w:type="dxa"/>
                        <w:tcBorders>
                          <w:bottom w:val="nil"/>
                        </w:tcBorders>
                      </w:tcPr>
                      <w:p>
                        <w:pPr>
                          <w:pStyle w:val="TableParagraph"/>
                          <w:rPr>
                            <w:rFonts w:ascii="宋体"/>
                            <w:sz w:val="24"/>
                          </w:rPr>
                        </w:pPr>
                      </w:p>
                      <w:p>
                        <w:pPr>
                          <w:pStyle w:val="TableParagraph"/>
                          <w:spacing w:before="6"/>
                          <w:rPr>
                            <w:rFonts w:ascii="宋体"/>
                            <w:sz w:val="24"/>
                          </w:rPr>
                        </w:pPr>
                      </w:p>
                      <w:p>
                        <w:pPr>
                          <w:pStyle w:val="TableParagraph"/>
                          <w:spacing w:line="286" w:lineRule="exact"/>
                          <w:ind w:left="272" w:right="267"/>
                          <w:jc w:val="center"/>
                          <w:rPr>
                            <w:sz w:val="24"/>
                          </w:rPr>
                        </w:pPr>
                        <w:r>
                          <w:rPr>
                            <w:sz w:val="24"/>
                          </w:rPr>
                          <w:t>杜红光</w:t>
                        </w:r>
                      </w:p>
                    </w:tc>
                    <w:tc>
                      <w:tcPr>
                        <w:tcW w:w="1600" w:type="dxa"/>
                        <w:tcBorders>
                          <w:bottom w:val="nil"/>
                        </w:tcBorders>
                      </w:tcPr>
                      <w:p>
                        <w:pPr>
                          <w:pStyle w:val="TableParagraph"/>
                          <w:rPr>
                            <w:rFonts w:ascii="宋体"/>
                            <w:sz w:val="24"/>
                          </w:rPr>
                        </w:pPr>
                      </w:p>
                      <w:p>
                        <w:pPr>
                          <w:pStyle w:val="TableParagraph"/>
                          <w:spacing w:before="6"/>
                          <w:rPr>
                            <w:rFonts w:ascii="宋体"/>
                            <w:sz w:val="24"/>
                          </w:rPr>
                        </w:pPr>
                      </w:p>
                      <w:p>
                        <w:pPr>
                          <w:pStyle w:val="TableParagraph"/>
                          <w:spacing w:line="286" w:lineRule="exact"/>
                          <w:ind w:left="178" w:right="170"/>
                          <w:jc w:val="center"/>
                          <w:rPr>
                            <w:sz w:val="24"/>
                          </w:rPr>
                        </w:pPr>
                        <w:r>
                          <w:rPr>
                            <w:sz w:val="24"/>
                          </w:rPr>
                          <w:t>综合办公室</w:t>
                        </w:r>
                      </w:p>
                    </w:tc>
                    <w:tc>
                      <w:tcPr>
                        <w:tcW w:w="4163" w:type="dxa"/>
                        <w:tcBorders>
                          <w:bottom w:val="nil"/>
                        </w:tcBorders>
                      </w:tcPr>
                      <w:p>
                        <w:pPr>
                          <w:pStyle w:val="TableParagraph"/>
                          <w:ind w:left="109"/>
                          <w:rPr>
                            <w:rFonts w:ascii="Times New Roman" w:eastAsia="Times New Roman"/>
                            <w:sz w:val="24"/>
                          </w:rPr>
                        </w:pPr>
                        <w:r>
                          <w:rPr>
                            <w:rFonts w:ascii="Times New Roman" w:eastAsia="Times New Roman"/>
                            <w:sz w:val="24"/>
                          </w:rPr>
                          <w:t>-</w:t>
                        </w:r>
                        <w:r>
                          <w:rPr>
                            <w:sz w:val="24"/>
                          </w:rPr>
                          <w:t>简介排放单位的基本情况</w:t>
                        </w:r>
                        <w:r>
                          <w:rPr>
                            <w:rFonts w:ascii="Times New Roman" w:eastAsia="Times New Roman"/>
                            <w:sz w:val="24"/>
                          </w:rPr>
                          <w:t>;</w:t>
                        </w:r>
                      </w:p>
                      <w:p>
                        <w:pPr>
                          <w:pStyle w:val="TableParagraph"/>
                          <w:spacing w:before="2"/>
                          <w:ind w:left="109"/>
                          <w:rPr>
                            <w:sz w:val="24"/>
                          </w:rPr>
                        </w:pPr>
                        <w:r>
                          <w:rPr>
                            <w:rFonts w:ascii="Times New Roman" w:eastAsia="Times New Roman"/>
                            <w:sz w:val="24"/>
                          </w:rPr>
                          <w:t>-</w:t>
                        </w:r>
                        <w:r>
                          <w:rPr>
                            <w:sz w:val="24"/>
                          </w:rPr>
                          <w:t>介绍开展能源管理与节能环保工作的</w:t>
                        </w:r>
                      </w:p>
                      <w:p>
                        <w:pPr>
                          <w:pStyle w:val="TableParagraph"/>
                          <w:spacing w:line="286" w:lineRule="exact" w:before="4"/>
                          <w:ind w:left="109"/>
                          <w:rPr>
                            <w:sz w:val="24"/>
                          </w:rPr>
                        </w:pPr>
                        <w:r>
                          <w:rPr>
                            <w:sz w:val="24"/>
                          </w:rPr>
                          <w:t>成果及未来计划；</w:t>
                        </w:r>
                      </w:p>
                    </w:tc>
                  </w:tr>
                  <w:tr>
                    <w:trPr>
                      <w:trHeight w:val="627" w:hRule="atLeast"/>
                    </w:trPr>
                    <w:tc>
                      <w:tcPr>
                        <w:tcW w:w="1452" w:type="dxa"/>
                        <w:tcBorders>
                          <w:top w:val="nil"/>
                          <w:bottom w:val="nil"/>
                        </w:tcBorders>
                      </w:tcPr>
                      <w:p>
                        <w:pPr>
                          <w:pStyle w:val="TableParagraph"/>
                          <w:rPr>
                            <w:rFonts w:ascii="Times New Roman"/>
                            <w:sz w:val="24"/>
                          </w:rPr>
                        </w:pPr>
                      </w:p>
                    </w:tc>
                    <w:tc>
                      <w:tcPr>
                        <w:tcW w:w="1310" w:type="dxa"/>
                        <w:tcBorders>
                          <w:top w:val="nil"/>
                        </w:tcBorders>
                      </w:tcPr>
                      <w:p>
                        <w:pPr>
                          <w:pStyle w:val="TableParagraph"/>
                          <w:rPr>
                            <w:rFonts w:ascii="Times New Roman"/>
                            <w:sz w:val="24"/>
                          </w:rPr>
                        </w:pPr>
                      </w:p>
                    </w:tc>
                    <w:tc>
                      <w:tcPr>
                        <w:tcW w:w="1600" w:type="dxa"/>
                        <w:tcBorders>
                          <w:top w:val="nil"/>
                        </w:tcBorders>
                      </w:tcPr>
                      <w:p>
                        <w:pPr>
                          <w:pStyle w:val="TableParagraph"/>
                          <w:rPr>
                            <w:rFonts w:ascii="Times New Roman"/>
                            <w:sz w:val="24"/>
                          </w:rPr>
                        </w:pPr>
                      </w:p>
                    </w:tc>
                    <w:tc>
                      <w:tcPr>
                        <w:tcW w:w="4163" w:type="dxa"/>
                        <w:tcBorders>
                          <w:top w:val="nil"/>
                        </w:tcBorders>
                      </w:tcPr>
                      <w:p>
                        <w:pPr>
                          <w:pStyle w:val="TableParagraph"/>
                          <w:spacing w:line="310" w:lineRule="atLeast" w:before="3"/>
                          <w:ind w:left="109" w:right="86"/>
                          <w:rPr>
                            <w:sz w:val="24"/>
                          </w:rPr>
                        </w:pPr>
                        <w:r>
                          <w:rPr>
                            <w:rFonts w:ascii="Times New Roman" w:eastAsia="Times New Roman"/>
                            <w:sz w:val="24"/>
                          </w:rPr>
                          <w:t>-</w:t>
                        </w:r>
                        <w:r>
                          <w:rPr>
                            <w:sz w:val="24"/>
                          </w:rPr>
                          <w:t>介绍排放单位组织构架和厂区布局分布。</w:t>
                        </w:r>
                      </w:p>
                    </w:tc>
                  </w:tr>
                  <w:tr>
                    <w:trPr>
                      <w:trHeight w:val="928" w:hRule="atLeast"/>
                    </w:trPr>
                    <w:tc>
                      <w:tcPr>
                        <w:tcW w:w="1452" w:type="dxa"/>
                        <w:tcBorders>
                          <w:top w:val="nil"/>
                          <w:bottom w:val="nil"/>
                        </w:tcBorders>
                      </w:tcPr>
                      <w:p>
                        <w:pPr>
                          <w:pStyle w:val="TableParagraph"/>
                          <w:rPr>
                            <w:rFonts w:ascii="Times New Roman"/>
                            <w:sz w:val="24"/>
                          </w:rPr>
                        </w:pPr>
                      </w:p>
                    </w:tc>
                    <w:tc>
                      <w:tcPr>
                        <w:tcW w:w="1310" w:type="dxa"/>
                        <w:tcBorders>
                          <w:bottom w:val="nil"/>
                        </w:tcBorders>
                      </w:tcPr>
                      <w:p>
                        <w:pPr>
                          <w:pStyle w:val="TableParagraph"/>
                          <w:rPr>
                            <w:rFonts w:ascii="Times New Roman"/>
                            <w:sz w:val="24"/>
                          </w:rPr>
                        </w:pPr>
                      </w:p>
                    </w:tc>
                    <w:tc>
                      <w:tcPr>
                        <w:tcW w:w="1600" w:type="dxa"/>
                        <w:tcBorders>
                          <w:bottom w:val="nil"/>
                        </w:tcBorders>
                      </w:tcPr>
                      <w:p>
                        <w:pPr>
                          <w:pStyle w:val="TableParagraph"/>
                          <w:rPr>
                            <w:rFonts w:ascii="Times New Roman"/>
                            <w:sz w:val="24"/>
                          </w:rPr>
                        </w:pPr>
                      </w:p>
                    </w:tc>
                    <w:tc>
                      <w:tcPr>
                        <w:tcW w:w="4163" w:type="dxa"/>
                        <w:tcBorders>
                          <w:bottom w:val="nil"/>
                        </w:tcBorders>
                      </w:tcPr>
                      <w:p>
                        <w:pPr>
                          <w:pStyle w:val="TableParagraph"/>
                          <w:ind w:left="109"/>
                          <w:rPr>
                            <w:sz w:val="24"/>
                          </w:rPr>
                        </w:pPr>
                        <w:r>
                          <w:rPr>
                            <w:rFonts w:ascii="Times New Roman" w:eastAsia="Times New Roman"/>
                            <w:sz w:val="24"/>
                          </w:rPr>
                          <w:t>-</w:t>
                        </w:r>
                        <w:r>
                          <w:rPr>
                            <w:sz w:val="24"/>
                          </w:rPr>
                          <w:t>介绍排放单位用能及能源管理现状；</w:t>
                        </w:r>
                      </w:p>
                      <w:p>
                        <w:pPr>
                          <w:pStyle w:val="TableParagraph"/>
                          <w:spacing w:line="310" w:lineRule="atLeast" w:before="2"/>
                          <w:ind w:left="109" w:right="86"/>
                          <w:rPr>
                            <w:sz w:val="24"/>
                          </w:rPr>
                        </w:pPr>
                        <w:r>
                          <w:rPr>
                            <w:rFonts w:ascii="Times New Roman" w:eastAsia="Times New Roman"/>
                            <w:sz w:val="24"/>
                          </w:rPr>
                          <w:t>-</w:t>
                        </w:r>
                        <w:r>
                          <w:rPr>
                            <w:sz w:val="24"/>
                          </w:rPr>
                          <w:t>回答温室气体填报负责部门及其岗位职责有关问题；</w:t>
                        </w:r>
                      </w:p>
                    </w:tc>
                  </w:tr>
                  <w:tr>
                    <w:trPr>
                      <w:trHeight w:val="1555" w:hRule="atLeast"/>
                    </w:trPr>
                    <w:tc>
                      <w:tcPr>
                        <w:tcW w:w="1452" w:type="dxa"/>
                        <w:tcBorders>
                          <w:top w:val="nil"/>
                          <w:bottom w:val="nil"/>
                        </w:tcBorders>
                      </w:tcPr>
                      <w:p>
                        <w:pPr>
                          <w:pStyle w:val="TableParagraph"/>
                          <w:spacing w:before="3"/>
                          <w:rPr>
                            <w:rFonts w:ascii="宋体"/>
                            <w:sz w:val="24"/>
                          </w:rPr>
                        </w:pPr>
                      </w:p>
                      <w:p>
                        <w:pPr>
                          <w:pStyle w:val="TableParagraph"/>
                          <w:ind w:left="47" w:right="35"/>
                          <w:jc w:val="center"/>
                          <w:rPr>
                            <w:sz w:val="24"/>
                          </w:rPr>
                        </w:pPr>
                        <w:r>
                          <w:rPr>
                            <w:rFonts w:ascii="Times New Roman" w:eastAsia="Times New Roman"/>
                            <w:sz w:val="24"/>
                          </w:rPr>
                          <w:t>2022 </w:t>
                        </w:r>
                        <w:r>
                          <w:rPr>
                            <w:sz w:val="24"/>
                          </w:rPr>
                          <w:t>年 </w:t>
                        </w:r>
                        <w:r>
                          <w:rPr>
                            <w:rFonts w:ascii="Times New Roman" w:eastAsia="Times New Roman"/>
                            <w:sz w:val="24"/>
                          </w:rPr>
                          <w:t>2 </w:t>
                        </w:r>
                        <w:r>
                          <w:rPr>
                            <w:sz w:val="24"/>
                          </w:rPr>
                          <w:t>月</w:t>
                        </w:r>
                      </w:p>
                      <w:p>
                        <w:pPr>
                          <w:pStyle w:val="TableParagraph"/>
                          <w:spacing w:before="5"/>
                          <w:ind w:left="44" w:right="35"/>
                          <w:jc w:val="center"/>
                          <w:rPr>
                            <w:sz w:val="24"/>
                          </w:rPr>
                        </w:pPr>
                        <w:r>
                          <w:rPr>
                            <w:rFonts w:ascii="Times New Roman" w:eastAsia="Times New Roman"/>
                            <w:sz w:val="24"/>
                          </w:rPr>
                          <w:t>6 </w:t>
                        </w:r>
                        <w:r>
                          <w:rPr>
                            <w:sz w:val="24"/>
                          </w:rPr>
                          <w:t>日</w:t>
                        </w:r>
                      </w:p>
                    </w:tc>
                    <w:tc>
                      <w:tcPr>
                        <w:tcW w:w="1310" w:type="dxa"/>
                        <w:tcBorders>
                          <w:top w:val="nil"/>
                          <w:bottom w:val="nil"/>
                        </w:tcBorders>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6"/>
                          <w:rPr>
                            <w:rFonts w:ascii="宋体"/>
                            <w:sz w:val="25"/>
                          </w:rPr>
                        </w:pPr>
                      </w:p>
                      <w:p>
                        <w:pPr>
                          <w:pStyle w:val="TableParagraph"/>
                          <w:spacing w:line="286" w:lineRule="exact"/>
                          <w:ind w:left="272" w:right="267"/>
                          <w:jc w:val="center"/>
                          <w:rPr>
                            <w:sz w:val="24"/>
                          </w:rPr>
                        </w:pPr>
                        <w:r>
                          <w:rPr>
                            <w:sz w:val="24"/>
                          </w:rPr>
                          <w:t>张林</w:t>
                        </w:r>
                      </w:p>
                    </w:tc>
                    <w:tc>
                      <w:tcPr>
                        <w:tcW w:w="1600" w:type="dxa"/>
                        <w:tcBorders>
                          <w:top w:val="nil"/>
                          <w:bottom w:val="nil"/>
                        </w:tcBorders>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6"/>
                          <w:rPr>
                            <w:rFonts w:ascii="宋体"/>
                            <w:sz w:val="25"/>
                          </w:rPr>
                        </w:pPr>
                      </w:p>
                      <w:p>
                        <w:pPr>
                          <w:pStyle w:val="TableParagraph"/>
                          <w:spacing w:line="286" w:lineRule="exact"/>
                          <w:ind w:left="178" w:right="170"/>
                          <w:jc w:val="center"/>
                          <w:rPr>
                            <w:sz w:val="24"/>
                          </w:rPr>
                        </w:pPr>
                        <w:r>
                          <w:rPr>
                            <w:sz w:val="24"/>
                          </w:rPr>
                          <w:t>动力部</w:t>
                        </w:r>
                      </w:p>
                    </w:tc>
                    <w:tc>
                      <w:tcPr>
                        <w:tcW w:w="4163" w:type="dxa"/>
                        <w:tcBorders>
                          <w:top w:val="nil"/>
                          <w:bottom w:val="nil"/>
                        </w:tcBorders>
                      </w:tcPr>
                      <w:p>
                        <w:pPr>
                          <w:pStyle w:val="TableParagraph"/>
                          <w:spacing w:line="242" w:lineRule="auto" w:before="4"/>
                          <w:ind w:left="109" w:right="86"/>
                          <w:rPr>
                            <w:sz w:val="24"/>
                          </w:rPr>
                        </w:pPr>
                        <w:r>
                          <w:rPr>
                            <w:rFonts w:ascii="Times New Roman" w:eastAsia="Times New Roman"/>
                            <w:sz w:val="24"/>
                          </w:rPr>
                          <w:t>-</w:t>
                        </w:r>
                        <w:r>
                          <w:rPr>
                            <w:sz w:val="24"/>
                          </w:rPr>
                          <w:t>回答关于填报的具体问题：如填报表格中数据来源、文档管理等问题；</w:t>
                        </w:r>
                      </w:p>
                      <w:p>
                        <w:pPr>
                          <w:pStyle w:val="TableParagraph"/>
                          <w:spacing w:before="2"/>
                          <w:ind w:left="109"/>
                          <w:rPr>
                            <w:sz w:val="24"/>
                          </w:rPr>
                        </w:pPr>
                        <w:r>
                          <w:rPr>
                            <w:rFonts w:ascii="Times New Roman" w:eastAsia="Times New Roman"/>
                            <w:spacing w:val="-1"/>
                            <w:sz w:val="24"/>
                          </w:rPr>
                          <w:t>-</w:t>
                        </w:r>
                        <w:r>
                          <w:rPr>
                            <w:sz w:val="24"/>
                          </w:rPr>
                          <w:t>提供《文件清单》中的支持性文件；</w:t>
                        </w:r>
                      </w:p>
                      <w:p>
                        <w:pPr>
                          <w:pStyle w:val="TableParagraph"/>
                          <w:spacing w:before="3"/>
                          <w:ind w:left="109"/>
                          <w:rPr>
                            <w:sz w:val="24"/>
                          </w:rPr>
                        </w:pPr>
                        <w:r>
                          <w:rPr>
                            <w:rFonts w:ascii="Times New Roman" w:eastAsia="Times New Roman"/>
                            <w:sz w:val="24"/>
                          </w:rPr>
                          <w:t>-</w:t>
                        </w:r>
                        <w:r>
                          <w:rPr>
                            <w:sz w:val="24"/>
                          </w:rPr>
                          <w:t>介绍排放单位主要耗能设施的类型、</w:t>
                        </w:r>
                      </w:p>
                      <w:p>
                        <w:pPr>
                          <w:pStyle w:val="TableParagraph"/>
                          <w:spacing w:line="286" w:lineRule="exact" w:before="4"/>
                          <w:ind w:left="109"/>
                          <w:rPr>
                            <w:sz w:val="24"/>
                          </w:rPr>
                        </w:pPr>
                        <w:r>
                          <w:rPr>
                            <w:sz w:val="24"/>
                          </w:rPr>
                          <w:t>能耗种类、位置等情况；</w:t>
                        </w:r>
                      </w:p>
                    </w:tc>
                  </w:tr>
                  <w:tr>
                    <w:trPr>
                      <w:trHeight w:val="621" w:hRule="atLeast"/>
                    </w:trPr>
                    <w:tc>
                      <w:tcPr>
                        <w:tcW w:w="1452" w:type="dxa"/>
                        <w:tcBorders>
                          <w:top w:val="nil"/>
                          <w:bottom w:val="nil"/>
                        </w:tcBorders>
                      </w:tcPr>
                      <w:p>
                        <w:pPr>
                          <w:pStyle w:val="TableParagraph"/>
                          <w:rPr>
                            <w:rFonts w:ascii="Times New Roman"/>
                            <w:sz w:val="24"/>
                          </w:rPr>
                        </w:pPr>
                      </w:p>
                    </w:tc>
                    <w:tc>
                      <w:tcPr>
                        <w:tcW w:w="1310" w:type="dxa"/>
                        <w:tcBorders>
                          <w:top w:val="nil"/>
                          <w:bottom w:val="nil"/>
                        </w:tcBorders>
                      </w:tcPr>
                      <w:p>
                        <w:pPr>
                          <w:pStyle w:val="TableParagraph"/>
                          <w:rPr>
                            <w:rFonts w:ascii="Times New Roman"/>
                            <w:sz w:val="24"/>
                          </w:rPr>
                        </w:pPr>
                      </w:p>
                    </w:tc>
                    <w:tc>
                      <w:tcPr>
                        <w:tcW w:w="1600" w:type="dxa"/>
                        <w:tcBorders>
                          <w:top w:val="nil"/>
                          <w:bottom w:val="nil"/>
                        </w:tcBorders>
                      </w:tcPr>
                      <w:p>
                        <w:pPr>
                          <w:pStyle w:val="TableParagraph"/>
                          <w:rPr>
                            <w:rFonts w:ascii="Times New Roman"/>
                            <w:sz w:val="24"/>
                          </w:rPr>
                        </w:pPr>
                      </w:p>
                    </w:tc>
                    <w:tc>
                      <w:tcPr>
                        <w:tcW w:w="4163" w:type="dxa"/>
                        <w:tcBorders>
                          <w:top w:val="nil"/>
                          <w:bottom w:val="nil"/>
                        </w:tcBorders>
                      </w:tcPr>
                      <w:p>
                        <w:pPr>
                          <w:pStyle w:val="TableParagraph"/>
                          <w:spacing w:line="310" w:lineRule="atLeast" w:before="3"/>
                          <w:ind w:left="109" w:right="86"/>
                          <w:rPr>
                            <w:sz w:val="24"/>
                          </w:rPr>
                        </w:pPr>
                        <w:r>
                          <w:rPr>
                            <w:rFonts w:ascii="Times New Roman" w:eastAsia="Times New Roman"/>
                            <w:sz w:val="24"/>
                          </w:rPr>
                          <w:t>-</w:t>
                        </w:r>
                        <w:r>
                          <w:rPr>
                            <w:sz w:val="24"/>
                          </w:rPr>
                          <w:t>带领核查员检查现场的排放设施及测量设备及回答相关问题；</w:t>
                        </w:r>
                      </w:p>
                    </w:tc>
                  </w:tr>
                  <w:tr>
                    <w:trPr>
                      <w:trHeight w:val="623" w:hRule="atLeast"/>
                    </w:trPr>
                    <w:tc>
                      <w:tcPr>
                        <w:tcW w:w="1452" w:type="dxa"/>
                        <w:tcBorders>
                          <w:top w:val="nil"/>
                          <w:bottom w:val="nil"/>
                        </w:tcBorders>
                      </w:tcPr>
                      <w:p>
                        <w:pPr>
                          <w:pStyle w:val="TableParagraph"/>
                          <w:rPr>
                            <w:rFonts w:ascii="Times New Roman"/>
                            <w:sz w:val="24"/>
                          </w:rPr>
                        </w:pPr>
                      </w:p>
                    </w:tc>
                    <w:tc>
                      <w:tcPr>
                        <w:tcW w:w="1310" w:type="dxa"/>
                        <w:tcBorders>
                          <w:top w:val="nil"/>
                          <w:bottom w:val="nil"/>
                        </w:tcBorders>
                      </w:tcPr>
                      <w:p>
                        <w:pPr>
                          <w:pStyle w:val="TableParagraph"/>
                          <w:rPr>
                            <w:rFonts w:ascii="Times New Roman"/>
                            <w:sz w:val="24"/>
                          </w:rPr>
                        </w:pPr>
                      </w:p>
                    </w:tc>
                    <w:tc>
                      <w:tcPr>
                        <w:tcW w:w="1600" w:type="dxa"/>
                        <w:tcBorders>
                          <w:top w:val="nil"/>
                          <w:bottom w:val="nil"/>
                        </w:tcBorders>
                      </w:tcPr>
                      <w:p>
                        <w:pPr>
                          <w:pStyle w:val="TableParagraph"/>
                          <w:rPr>
                            <w:rFonts w:ascii="Times New Roman"/>
                            <w:sz w:val="24"/>
                          </w:rPr>
                        </w:pPr>
                      </w:p>
                    </w:tc>
                    <w:tc>
                      <w:tcPr>
                        <w:tcW w:w="4163" w:type="dxa"/>
                        <w:tcBorders>
                          <w:top w:val="nil"/>
                          <w:bottom w:val="nil"/>
                        </w:tcBorders>
                      </w:tcPr>
                      <w:p>
                        <w:pPr>
                          <w:pStyle w:val="TableParagraph"/>
                          <w:spacing w:line="310" w:lineRule="atLeast" w:before="2"/>
                          <w:ind w:left="109" w:right="86"/>
                          <w:rPr>
                            <w:sz w:val="24"/>
                          </w:rPr>
                        </w:pPr>
                        <w:r>
                          <w:rPr>
                            <w:rFonts w:ascii="Times New Roman" w:eastAsia="Times New Roman"/>
                            <w:sz w:val="24"/>
                          </w:rPr>
                          <w:t>-</w:t>
                        </w:r>
                        <w:r>
                          <w:rPr>
                            <w:sz w:val="24"/>
                          </w:rPr>
                          <w:t>回答数据的监测、收集和获取过程有关问题。</w:t>
                        </w:r>
                      </w:p>
                    </w:tc>
                  </w:tr>
                  <w:tr>
                    <w:trPr>
                      <w:trHeight w:val="621" w:hRule="atLeast"/>
                    </w:trPr>
                    <w:tc>
                      <w:tcPr>
                        <w:tcW w:w="1452" w:type="dxa"/>
                        <w:tcBorders>
                          <w:top w:val="nil"/>
                          <w:bottom w:val="nil"/>
                        </w:tcBorders>
                      </w:tcPr>
                      <w:p>
                        <w:pPr>
                          <w:pStyle w:val="TableParagraph"/>
                          <w:rPr>
                            <w:rFonts w:ascii="Times New Roman"/>
                            <w:sz w:val="24"/>
                          </w:rPr>
                        </w:pPr>
                      </w:p>
                    </w:tc>
                    <w:tc>
                      <w:tcPr>
                        <w:tcW w:w="1310" w:type="dxa"/>
                        <w:tcBorders>
                          <w:top w:val="nil"/>
                          <w:bottom w:val="nil"/>
                        </w:tcBorders>
                      </w:tcPr>
                      <w:p>
                        <w:pPr>
                          <w:pStyle w:val="TableParagraph"/>
                          <w:rPr>
                            <w:rFonts w:ascii="Times New Roman"/>
                            <w:sz w:val="24"/>
                          </w:rPr>
                        </w:pPr>
                      </w:p>
                    </w:tc>
                    <w:tc>
                      <w:tcPr>
                        <w:tcW w:w="1600" w:type="dxa"/>
                        <w:tcBorders>
                          <w:top w:val="nil"/>
                          <w:bottom w:val="nil"/>
                        </w:tcBorders>
                      </w:tcPr>
                      <w:p>
                        <w:pPr>
                          <w:pStyle w:val="TableParagraph"/>
                          <w:rPr>
                            <w:rFonts w:ascii="Times New Roman"/>
                            <w:sz w:val="24"/>
                          </w:rPr>
                        </w:pPr>
                      </w:p>
                    </w:tc>
                    <w:tc>
                      <w:tcPr>
                        <w:tcW w:w="4163" w:type="dxa"/>
                        <w:tcBorders>
                          <w:top w:val="nil"/>
                          <w:bottom w:val="nil"/>
                        </w:tcBorders>
                      </w:tcPr>
                      <w:p>
                        <w:pPr>
                          <w:pStyle w:val="TableParagraph"/>
                          <w:spacing w:line="310" w:lineRule="atLeast" w:before="3"/>
                          <w:ind w:left="109" w:right="86"/>
                          <w:rPr>
                            <w:sz w:val="24"/>
                          </w:rPr>
                        </w:pPr>
                        <w:r>
                          <w:rPr>
                            <w:rFonts w:ascii="Times New Roman" w:eastAsia="Times New Roman"/>
                            <w:sz w:val="24"/>
                          </w:rPr>
                          <w:t>-</w:t>
                        </w:r>
                        <w:r>
                          <w:rPr>
                            <w:sz w:val="24"/>
                          </w:rPr>
                          <w:t>回答关于填报的具体问题：如填报表格中数据来源、文档管理等问题；</w:t>
                        </w:r>
                      </w:p>
                    </w:tc>
                  </w:tr>
                  <w:tr>
                    <w:trPr>
                      <w:trHeight w:val="316" w:hRule="atLeast"/>
                    </w:trPr>
                    <w:tc>
                      <w:tcPr>
                        <w:tcW w:w="1452" w:type="dxa"/>
                        <w:tcBorders>
                          <w:top w:val="nil"/>
                        </w:tcBorders>
                      </w:tcPr>
                      <w:p>
                        <w:pPr>
                          <w:pStyle w:val="TableParagraph"/>
                          <w:rPr>
                            <w:rFonts w:ascii="Times New Roman"/>
                            <w:sz w:val="24"/>
                          </w:rPr>
                        </w:pPr>
                      </w:p>
                    </w:tc>
                    <w:tc>
                      <w:tcPr>
                        <w:tcW w:w="1310" w:type="dxa"/>
                        <w:tcBorders>
                          <w:top w:val="nil"/>
                        </w:tcBorders>
                      </w:tcPr>
                      <w:p>
                        <w:pPr>
                          <w:pStyle w:val="TableParagraph"/>
                          <w:rPr>
                            <w:rFonts w:ascii="Times New Roman"/>
                            <w:sz w:val="24"/>
                          </w:rPr>
                        </w:pPr>
                      </w:p>
                    </w:tc>
                    <w:tc>
                      <w:tcPr>
                        <w:tcW w:w="1600" w:type="dxa"/>
                        <w:tcBorders>
                          <w:top w:val="nil"/>
                        </w:tcBorders>
                      </w:tcPr>
                      <w:p>
                        <w:pPr>
                          <w:pStyle w:val="TableParagraph"/>
                          <w:rPr>
                            <w:rFonts w:ascii="Times New Roman"/>
                            <w:sz w:val="24"/>
                          </w:rPr>
                        </w:pPr>
                      </w:p>
                    </w:tc>
                    <w:tc>
                      <w:tcPr>
                        <w:tcW w:w="4163" w:type="dxa"/>
                        <w:tcBorders>
                          <w:top w:val="nil"/>
                        </w:tcBorders>
                      </w:tcPr>
                      <w:p>
                        <w:pPr>
                          <w:pStyle w:val="TableParagraph"/>
                          <w:spacing w:line="292" w:lineRule="exact" w:before="4"/>
                          <w:ind w:left="90" w:right="103"/>
                          <w:jc w:val="center"/>
                          <w:rPr>
                            <w:sz w:val="24"/>
                          </w:rPr>
                        </w:pPr>
                        <w:r>
                          <w:rPr>
                            <w:rFonts w:ascii="Times New Roman" w:eastAsia="Times New Roman"/>
                            <w:sz w:val="24"/>
                          </w:rPr>
                          <w:t>-</w:t>
                        </w:r>
                        <w:r>
                          <w:rPr>
                            <w:sz w:val="24"/>
                          </w:rPr>
                          <w:t>提供《文件清单》中的支持性文件。</w:t>
                        </w:r>
                      </w:p>
                    </w:tc>
                  </w:tr>
                </w:tbl>
                <w:p>
                  <w:pPr>
                    <w:pStyle w:val="BodyText"/>
                  </w:pPr>
                </w:p>
              </w:txbxContent>
            </v:textbox>
            <w10:wrap type="none"/>
          </v:shape>
        </w:pict>
      </w:r>
      <w:r>
        <w:rPr/>
        <w:t>表 </w:t>
      </w:r>
      <w:r>
        <w:rPr>
          <w:rFonts w:ascii="Times New Roman" w:eastAsia="Times New Roman"/>
        </w:rPr>
        <w:t>2-3 </w:t>
      </w:r>
      <w:r>
        <w:rPr/>
        <w:t>现场核查记录表</w:t>
      </w:r>
    </w:p>
    <w:p>
      <w:pPr>
        <w:pStyle w:val="BodyText"/>
        <w:rPr>
          <w:rFonts w:ascii="Microsoft JhengHei"/>
          <w:b/>
          <w:sz w:val="30"/>
        </w:rPr>
      </w:pPr>
    </w:p>
    <w:p>
      <w:pPr>
        <w:pStyle w:val="BodyText"/>
        <w:rPr>
          <w:rFonts w:ascii="Microsoft JhengHei"/>
          <w:b/>
          <w:sz w:val="30"/>
        </w:rPr>
      </w:pPr>
    </w:p>
    <w:p>
      <w:pPr>
        <w:pStyle w:val="BodyText"/>
        <w:rPr>
          <w:rFonts w:ascii="Microsoft JhengHei"/>
          <w:b/>
          <w:sz w:val="30"/>
        </w:rPr>
      </w:pPr>
    </w:p>
    <w:p>
      <w:pPr>
        <w:pStyle w:val="BodyText"/>
        <w:rPr>
          <w:rFonts w:ascii="Microsoft JhengHei"/>
          <w:b/>
          <w:sz w:val="30"/>
        </w:rPr>
      </w:pPr>
    </w:p>
    <w:p>
      <w:pPr>
        <w:pStyle w:val="BodyText"/>
        <w:rPr>
          <w:rFonts w:ascii="Microsoft JhengHei"/>
          <w:b/>
          <w:sz w:val="30"/>
        </w:rPr>
      </w:pPr>
    </w:p>
    <w:p>
      <w:pPr>
        <w:pStyle w:val="BodyText"/>
        <w:rPr>
          <w:rFonts w:ascii="Microsoft JhengHei"/>
          <w:b/>
          <w:sz w:val="30"/>
        </w:rPr>
      </w:pPr>
    </w:p>
    <w:p>
      <w:pPr>
        <w:pStyle w:val="BodyText"/>
        <w:rPr>
          <w:rFonts w:ascii="Microsoft JhengHei"/>
          <w:b/>
          <w:sz w:val="30"/>
        </w:rPr>
      </w:pPr>
    </w:p>
    <w:p>
      <w:pPr>
        <w:pStyle w:val="BodyText"/>
        <w:rPr>
          <w:rFonts w:ascii="Microsoft JhengHei"/>
          <w:b/>
          <w:sz w:val="30"/>
        </w:rPr>
      </w:pPr>
    </w:p>
    <w:p>
      <w:pPr>
        <w:pStyle w:val="BodyText"/>
        <w:rPr>
          <w:rFonts w:ascii="Microsoft JhengHei"/>
          <w:b/>
          <w:sz w:val="30"/>
        </w:rPr>
      </w:pPr>
    </w:p>
    <w:p>
      <w:pPr>
        <w:pStyle w:val="BodyText"/>
        <w:rPr>
          <w:rFonts w:ascii="Microsoft JhengHei"/>
          <w:b/>
          <w:sz w:val="30"/>
        </w:rPr>
      </w:pPr>
    </w:p>
    <w:p>
      <w:pPr>
        <w:pStyle w:val="BodyText"/>
        <w:rPr>
          <w:rFonts w:ascii="Microsoft JhengHei"/>
          <w:b/>
          <w:sz w:val="30"/>
        </w:rPr>
      </w:pPr>
    </w:p>
    <w:p>
      <w:pPr>
        <w:pStyle w:val="BodyText"/>
        <w:rPr>
          <w:rFonts w:ascii="Microsoft JhengHei"/>
          <w:b/>
          <w:sz w:val="30"/>
        </w:rPr>
      </w:pPr>
    </w:p>
    <w:p>
      <w:pPr>
        <w:pStyle w:val="BodyText"/>
        <w:spacing w:before="2"/>
        <w:rPr>
          <w:rFonts w:ascii="Microsoft JhengHei"/>
          <w:b/>
          <w:sz w:val="23"/>
        </w:rPr>
      </w:pPr>
    </w:p>
    <w:p>
      <w:pPr>
        <w:pStyle w:val="Heading1"/>
        <w:numPr>
          <w:ilvl w:val="1"/>
          <w:numId w:val="4"/>
        </w:numPr>
        <w:tabs>
          <w:tab w:pos="958" w:val="left" w:leader="none"/>
        </w:tabs>
        <w:spacing w:line="240" w:lineRule="auto" w:before="0" w:after="0"/>
        <w:ind w:left="957" w:right="0" w:hanging="421"/>
        <w:jc w:val="left"/>
      </w:pPr>
      <w:bookmarkStart w:name="_bookmark10" w:id="21"/>
      <w:bookmarkEnd w:id="21"/>
      <w:r>
        <w:rPr>
          <w:b w:val="0"/>
        </w:rPr>
      </w:r>
      <w:bookmarkStart w:name="_bookmark10" w:id="22"/>
      <w:bookmarkEnd w:id="22"/>
      <w:r>
        <w:rPr/>
        <w:t>核查报告编写及内部技术评审</w:t>
      </w:r>
    </w:p>
    <w:p>
      <w:pPr>
        <w:pStyle w:val="BodyText"/>
        <w:spacing w:before="122"/>
        <w:ind w:left="1096"/>
      </w:pPr>
      <w:r>
        <w:rPr/>
        <w:t>核查组于 </w:t>
      </w:r>
      <w:r>
        <w:rPr>
          <w:rFonts w:ascii="Times New Roman" w:eastAsia="Times New Roman"/>
        </w:rPr>
        <w:t>2022 </w:t>
      </w:r>
      <w:r>
        <w:rPr/>
        <w:t>年 </w:t>
      </w:r>
      <w:r>
        <w:rPr>
          <w:rFonts w:ascii="Times New Roman" w:eastAsia="Times New Roman"/>
        </w:rPr>
        <w:t>3 </w:t>
      </w:r>
      <w:r>
        <w:rPr/>
        <w:t>月 </w:t>
      </w:r>
      <w:r>
        <w:rPr>
          <w:rFonts w:ascii="Times New Roman" w:eastAsia="Times New Roman"/>
        </w:rPr>
        <w:t>25 </w:t>
      </w:r>
      <w:r>
        <w:rPr/>
        <w:t>日形成最终核查报告。</w:t>
      </w:r>
    </w:p>
    <w:p>
      <w:pPr>
        <w:pStyle w:val="BodyText"/>
        <w:spacing w:line="364" w:lineRule="auto" w:before="186"/>
        <w:ind w:left="537" w:right="411" w:firstLine="559"/>
      </w:pPr>
      <w:r>
        <w:rPr>
          <w:spacing w:val="-18"/>
        </w:rPr>
        <w:t>为保证核查质量，核查工作实施组长负责制、技术复核人复核制、</w:t>
      </w:r>
      <w:r>
        <w:rPr>
          <w:spacing w:val="-8"/>
        </w:rPr>
        <w:t>质量管理委员会把关三级质量管理体系。即对每一个核查项目均执行</w:t>
      </w:r>
      <w:r>
        <w:rPr>
          <w:spacing w:val="-12"/>
        </w:rPr>
        <w:t>三级质量校核程序，且实行质量控制前移的措施及时把控每一环节的核查质量。核查组组长负责在核查过程中对核查组成员进行指导，并控制最终排放报告及最终核查报告的质量；技术复核人负责在最终核</w:t>
      </w:r>
      <w:r>
        <w:rPr>
          <w:spacing w:val="-11"/>
        </w:rPr>
        <w:t>查报告提交给山东发展和改革委员会前控制最终排放报告、最终核查</w:t>
      </w:r>
      <w:r>
        <w:rPr>
          <w:spacing w:val="-12"/>
        </w:rPr>
        <w:t>报告的质量；质量管理委员会负责核查工作整体质量的把控，以及报</w:t>
      </w:r>
      <w:r>
        <w:rPr>
          <w:spacing w:val="-6"/>
        </w:rPr>
        <w:t>告的批准工作。</w:t>
      </w:r>
    </w:p>
    <w:p>
      <w:pPr>
        <w:spacing w:after="0" w:line="364" w:lineRule="auto"/>
        <w:sectPr>
          <w:pgSz w:w="11910" w:h="16840"/>
          <w:pgMar w:header="872" w:footer="997" w:top="1360" w:bottom="1180" w:left="1260" w:right="1240"/>
        </w:sectPr>
      </w:pPr>
    </w:p>
    <w:p>
      <w:pPr>
        <w:pStyle w:val="Heading1"/>
        <w:numPr>
          <w:ilvl w:val="0"/>
          <w:numId w:val="4"/>
        </w:numPr>
        <w:tabs>
          <w:tab w:pos="747" w:val="left" w:leader="none"/>
        </w:tabs>
        <w:spacing w:line="483" w:lineRule="exact" w:before="0" w:after="0"/>
        <w:ind w:left="746" w:right="0" w:hanging="210"/>
        <w:jc w:val="left"/>
      </w:pPr>
      <w:bookmarkStart w:name="_bookmark11" w:id="23"/>
      <w:bookmarkEnd w:id="23"/>
      <w:r>
        <w:rPr>
          <w:b w:val="0"/>
        </w:rPr>
      </w:r>
      <w:bookmarkStart w:name="_bookmark11" w:id="24"/>
      <w:bookmarkEnd w:id="24"/>
      <w:r>
        <w:rPr/>
        <w:t>核查发现</w:t>
      </w:r>
    </w:p>
    <w:p>
      <w:pPr>
        <w:pStyle w:val="Heading1"/>
        <w:numPr>
          <w:ilvl w:val="1"/>
          <w:numId w:val="4"/>
        </w:numPr>
        <w:tabs>
          <w:tab w:pos="958" w:val="left" w:leader="none"/>
        </w:tabs>
        <w:spacing w:line="240" w:lineRule="auto" w:before="30" w:after="0"/>
        <w:ind w:left="957" w:right="0" w:hanging="421"/>
        <w:jc w:val="left"/>
      </w:pPr>
      <w:bookmarkStart w:name="_bookmark12" w:id="25"/>
      <w:bookmarkEnd w:id="25"/>
      <w:r>
        <w:rPr>
          <w:b w:val="0"/>
        </w:rPr>
      </w:r>
      <w:bookmarkStart w:name="_bookmark12" w:id="26"/>
      <w:bookmarkEnd w:id="26"/>
      <w:r>
        <w:rPr/>
        <w:t>排放单位基本情况的核查</w:t>
      </w:r>
    </w:p>
    <w:p>
      <w:pPr>
        <w:pStyle w:val="Heading1"/>
        <w:numPr>
          <w:ilvl w:val="2"/>
          <w:numId w:val="6"/>
        </w:numPr>
        <w:tabs>
          <w:tab w:pos="1169" w:val="left" w:leader="none"/>
        </w:tabs>
        <w:spacing w:line="240" w:lineRule="auto" w:before="29" w:after="0"/>
        <w:ind w:left="1168" w:right="0" w:hanging="632"/>
        <w:jc w:val="left"/>
      </w:pPr>
      <w:bookmarkStart w:name="_bookmark13" w:id="27"/>
      <w:bookmarkEnd w:id="27"/>
      <w:r>
        <w:rPr>
          <w:b w:val="0"/>
        </w:rPr>
      </w:r>
      <w:bookmarkStart w:name="_bookmark13" w:id="28"/>
      <w:bookmarkEnd w:id="28"/>
      <w:r>
        <w:rPr/>
        <w:t>排放单位简介及组织机构</w:t>
      </w:r>
    </w:p>
    <w:p>
      <w:pPr>
        <w:pStyle w:val="BodyText"/>
        <w:spacing w:line="364" w:lineRule="auto" w:before="123"/>
        <w:ind w:left="537" w:right="553" w:firstLine="559"/>
      </w:pPr>
      <w:r>
        <w:rPr>
          <w:spacing w:val="-10"/>
        </w:rPr>
        <w:t>核查组通过评审排放单位的《营业执照》、《公司简介》以及查</w:t>
      </w:r>
      <w:r>
        <w:rPr>
          <w:spacing w:val="-3"/>
        </w:rPr>
        <w:t>看现场、访谈相关人员，确认排放单位的基本信息如下：</w:t>
      </w:r>
    </w:p>
    <w:p>
      <w:pPr>
        <w:pStyle w:val="BodyText"/>
        <w:spacing w:line="358" w:lineRule="exact"/>
        <w:ind w:left="1096"/>
      </w:pPr>
      <w:r>
        <w:rPr/>
        <w:t>排放单位山东鑫亚工业股份有限公司是具有 </w:t>
      </w:r>
      <w:r>
        <w:rPr>
          <w:rFonts w:ascii="Times New Roman" w:eastAsia="Times New Roman"/>
        </w:rPr>
        <w:t>56 </w:t>
      </w:r>
      <w:r>
        <w:rPr/>
        <w:t>年发展史的柴油</w:t>
      </w:r>
    </w:p>
    <w:p>
      <w:pPr>
        <w:pStyle w:val="BodyText"/>
        <w:spacing w:line="364" w:lineRule="auto" w:before="186"/>
        <w:ind w:left="537" w:right="553"/>
        <w:jc w:val="both"/>
      </w:pPr>
      <w:r>
        <w:rPr>
          <w:spacing w:val="-16"/>
        </w:rPr>
        <w:t>机燃油喷射系统专业制造企业，成立于 </w:t>
      </w:r>
      <w:r>
        <w:rPr>
          <w:rFonts w:ascii="Times New Roman" w:hAnsi="Times New Roman" w:eastAsia="Times New Roman"/>
        </w:rPr>
        <w:t>1965 </w:t>
      </w:r>
      <w:r>
        <w:rPr>
          <w:spacing w:val="-21"/>
        </w:rPr>
        <w:t>年，公司注册资本为 </w:t>
      </w:r>
      <w:r>
        <w:rPr>
          <w:rFonts w:ascii="Times New Roman" w:hAnsi="Times New Roman" w:eastAsia="Times New Roman"/>
        </w:rPr>
        <w:t>1.67 </w:t>
      </w:r>
      <w:r>
        <w:rPr>
          <w:spacing w:val="-11"/>
        </w:rPr>
        <w:t>亿元。鑫亚公司是全国油泵油嘴行业副理事长单位，国家油泵油嘴行</w:t>
      </w:r>
      <w:r>
        <w:rPr>
          <w:spacing w:val="-12"/>
        </w:rPr>
        <w:t>业技术标准制定单位，国家科技部 </w:t>
      </w:r>
      <w:r>
        <w:rPr>
          <w:rFonts w:ascii="Times New Roman" w:hAnsi="Times New Roman" w:eastAsia="Times New Roman"/>
          <w:spacing w:val="-2"/>
        </w:rPr>
        <w:t>863 </w:t>
      </w:r>
      <w:r>
        <w:rPr>
          <w:spacing w:val="-8"/>
        </w:rPr>
        <w:t>计划“高压喷油泵关键技术与</w:t>
      </w:r>
      <w:r>
        <w:rPr/>
        <w:t>产品开发”课题承担单位，省级技术中心</w:t>
      </w:r>
      <w:r>
        <w:rPr>
          <w:rFonts w:ascii="Times New Roman" w:hAnsi="Times New Roman" w:eastAsia="Times New Roman"/>
        </w:rPr>
        <w:t>,</w:t>
      </w:r>
      <w:r>
        <w:rPr/>
        <w:t>省专精特新中小企业。通</w:t>
      </w:r>
      <w:r>
        <w:rPr>
          <w:spacing w:val="34"/>
        </w:rPr>
        <w:t>过了</w:t>
      </w:r>
      <w:r>
        <w:rPr>
          <w:rFonts w:ascii="Times New Roman" w:hAnsi="Times New Roman" w:eastAsia="Times New Roman"/>
        </w:rPr>
        <w:t>ISO/TS16949 </w:t>
      </w:r>
      <w:r>
        <w:rPr>
          <w:spacing w:val="-12"/>
        </w:rPr>
        <w:t>质量管理体系认证。喷油器总成、喷油泵总成两个</w:t>
      </w:r>
      <w:r>
        <w:rPr>
          <w:spacing w:val="-13"/>
        </w:rPr>
        <w:t>产品获“山东省名牌产品”荣誉称号；“亚字”牌商标被评为“山东</w:t>
      </w:r>
      <w:r>
        <w:rPr>
          <w:spacing w:val="-8"/>
        </w:rPr>
        <w:t>省著名商标”、“山东省知名品牌”。</w:t>
      </w:r>
    </w:p>
    <w:p>
      <w:pPr>
        <w:pStyle w:val="BodyText"/>
        <w:spacing w:line="353" w:lineRule="exact"/>
        <w:ind w:left="817"/>
      </w:pPr>
      <w:r>
        <w:rPr/>
        <w:t>温室气体核算和报告工作由安全环保部负责。</w:t>
      </w:r>
    </w:p>
    <w:p>
      <w:pPr>
        <w:pStyle w:val="Heading1"/>
        <w:numPr>
          <w:ilvl w:val="2"/>
          <w:numId w:val="6"/>
        </w:numPr>
        <w:tabs>
          <w:tab w:pos="1169" w:val="left" w:leader="none"/>
        </w:tabs>
        <w:spacing w:line="240" w:lineRule="auto" w:before="94" w:after="0"/>
        <w:ind w:left="1168" w:right="0" w:hanging="632"/>
        <w:jc w:val="left"/>
      </w:pPr>
      <w:bookmarkStart w:name="_bookmark14" w:id="29"/>
      <w:bookmarkEnd w:id="29"/>
      <w:r>
        <w:rPr>
          <w:b w:val="0"/>
        </w:rPr>
      </w:r>
      <w:bookmarkStart w:name="_bookmark14" w:id="30"/>
      <w:bookmarkEnd w:id="30"/>
      <w:r>
        <w:rPr/>
        <w:t>产品服务及生产工艺</w:t>
      </w:r>
    </w:p>
    <w:p>
      <w:pPr>
        <w:pStyle w:val="BodyText"/>
        <w:spacing w:line="364" w:lineRule="auto" w:before="122"/>
        <w:ind w:left="537" w:right="553" w:firstLine="559"/>
        <w:jc w:val="both"/>
      </w:pPr>
      <w:r>
        <w:rPr>
          <w:spacing w:val="-11"/>
        </w:rPr>
        <w:t>排放单位产品为单缸泵总成、多缸泵总成、各类喷油器总成和精</w:t>
      </w:r>
      <w:r>
        <w:rPr>
          <w:spacing w:val="-10"/>
        </w:rPr>
        <w:t>密偶件。通过核对企业简介及通过与排放单位访谈，核查组确认排放</w:t>
      </w:r>
      <w:r>
        <w:rPr>
          <w:spacing w:val="-7"/>
        </w:rPr>
        <w:t>单位消耗的能源主要是电、柴油和汽油。</w:t>
      </w:r>
    </w:p>
    <w:p>
      <w:pPr>
        <w:pStyle w:val="BodyText"/>
        <w:spacing w:line="357" w:lineRule="exact"/>
        <w:ind w:left="1096"/>
      </w:pPr>
      <w:r>
        <w:rPr/>
        <w:t>具体的生产工艺流程如下图所示：</w:t>
      </w:r>
    </w:p>
    <w:sectPr>
      <w:pgSz w:w="11910" w:h="16840"/>
      <w:pgMar w:header="872" w:footer="997" w:top="1360" w:bottom="1180" w:left="126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Calibri">
    <w:altName w:val="Calibri"/>
    <w:charset w:val="0"/>
    <w:family w:val="swiss"/>
    <w:pitch w:val="variable"/>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320007pt;margin-top:782.089966pt;width:10.6pt;height:11pt;mso-position-horizontal-relative:page;mso-position-vertical-relative:page;z-index:-1609881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320007pt;margin-top:781.059937pt;width:10.5pt;height:12pt;mso-position-horizontal-relative:page;mso-position-vertical-relative:page;z-index:-16097280" type="#_x0000_t202" filled="false" stroked="false">
          <v:textbox inset="0,0,0,0">
            <w:txbxContent>
              <w:p>
                <w:pPr>
                  <w:spacing w:before="12"/>
                  <w:ind w:left="6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88.440002pt;margin-top:55.199982pt;width:418.44pt;height:.72pt;mso-position-horizontal-relative:page;mso-position-vertical-relative:page;z-index:-16098304" filled="true" fillcolor="#000000" stroked="false">
          <v:fill type="solid"/>
          <w10:wrap type="none"/>
        </v:rect>
      </w:pict>
    </w:r>
    <w:r>
      <w:rPr/>
      <w:pict>
        <v:shape style="position:absolute;margin-left:177.320007pt;margin-top:42.579964pt;width:240.6pt;height:12pt;mso-position-horizontal-relative:page;mso-position-vertical-relative:page;z-index:-16097792" type="#_x0000_t202" filled="false" stroked="false">
          <v:textbox inset="0,0,0,0">
            <w:txbxContent>
              <w:p>
                <w:pPr>
                  <w:spacing w:before="0"/>
                  <w:ind w:left="20" w:right="0" w:firstLine="0"/>
                  <w:jc w:val="left"/>
                  <w:rPr>
                    <w:sz w:val="18"/>
                  </w:rPr>
                </w:pPr>
                <w:r>
                  <w:rPr>
                    <w:spacing w:val="-4"/>
                    <w:sz w:val="18"/>
                  </w:rPr>
                  <w:t>山东鑫亚工业股份有限公司 </w:t>
                </w:r>
                <w:r>
                  <w:rPr>
                    <w:rFonts w:ascii="Times New Roman" w:eastAsia="Times New Roman"/>
                    <w:sz w:val="18"/>
                  </w:rPr>
                  <w:t>2021 </w:t>
                </w:r>
                <w:r>
                  <w:rPr>
                    <w:sz w:val="18"/>
                  </w:rPr>
                  <w:t>年度温室气体排放核查报告</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3"/>
      <w:numFmt w:val="decimal"/>
      <w:lvlText w:val="%1"/>
      <w:lvlJc w:val="left"/>
      <w:pPr>
        <w:ind w:left="1168" w:hanging="632"/>
        <w:jc w:val="left"/>
      </w:pPr>
      <w:rPr>
        <w:rFonts w:hint="default"/>
        <w:lang w:val="en-US" w:eastAsia="zh-CN" w:bidi="ar-SA"/>
      </w:rPr>
    </w:lvl>
    <w:lvl w:ilvl="1">
      <w:start w:val="1"/>
      <w:numFmt w:val="decimal"/>
      <w:lvlText w:val="%1.%2"/>
      <w:lvlJc w:val="left"/>
      <w:pPr>
        <w:ind w:left="1168" w:hanging="632"/>
        <w:jc w:val="left"/>
      </w:pPr>
      <w:rPr>
        <w:rFonts w:hint="default"/>
        <w:lang w:val="en-US" w:eastAsia="zh-CN" w:bidi="ar-SA"/>
      </w:rPr>
    </w:lvl>
    <w:lvl w:ilvl="2">
      <w:start w:val="1"/>
      <w:numFmt w:val="decimal"/>
      <w:lvlText w:val="%1.%2.%3"/>
      <w:lvlJc w:val="left"/>
      <w:pPr>
        <w:ind w:left="1168" w:hanging="632"/>
        <w:jc w:val="left"/>
      </w:pPr>
      <w:rPr>
        <w:rFonts w:hint="default" w:ascii="Times New Roman" w:hAnsi="Times New Roman" w:eastAsia="Times New Roman" w:cs="Times New Roman"/>
        <w:b/>
        <w:bCs/>
        <w:spacing w:val="-1"/>
        <w:w w:val="100"/>
        <w:sz w:val="28"/>
        <w:szCs w:val="28"/>
        <w:lang w:val="en-US" w:eastAsia="zh-CN" w:bidi="ar-SA"/>
      </w:rPr>
    </w:lvl>
    <w:lvl w:ilvl="3">
      <w:start w:val="0"/>
      <w:numFmt w:val="bullet"/>
      <w:lvlText w:val="•"/>
      <w:lvlJc w:val="left"/>
      <w:pPr>
        <w:ind w:left="3633" w:hanging="632"/>
      </w:pPr>
      <w:rPr>
        <w:rFonts w:hint="default"/>
        <w:lang w:val="en-US" w:eastAsia="zh-CN" w:bidi="ar-SA"/>
      </w:rPr>
    </w:lvl>
    <w:lvl w:ilvl="4">
      <w:start w:val="0"/>
      <w:numFmt w:val="bullet"/>
      <w:lvlText w:val="•"/>
      <w:lvlJc w:val="left"/>
      <w:pPr>
        <w:ind w:left="4458" w:hanging="632"/>
      </w:pPr>
      <w:rPr>
        <w:rFonts w:hint="default"/>
        <w:lang w:val="en-US" w:eastAsia="zh-CN" w:bidi="ar-SA"/>
      </w:rPr>
    </w:lvl>
    <w:lvl w:ilvl="5">
      <w:start w:val="0"/>
      <w:numFmt w:val="bullet"/>
      <w:lvlText w:val="•"/>
      <w:lvlJc w:val="left"/>
      <w:pPr>
        <w:ind w:left="5283" w:hanging="632"/>
      </w:pPr>
      <w:rPr>
        <w:rFonts w:hint="default"/>
        <w:lang w:val="en-US" w:eastAsia="zh-CN" w:bidi="ar-SA"/>
      </w:rPr>
    </w:lvl>
    <w:lvl w:ilvl="6">
      <w:start w:val="0"/>
      <w:numFmt w:val="bullet"/>
      <w:lvlText w:val="•"/>
      <w:lvlJc w:val="left"/>
      <w:pPr>
        <w:ind w:left="6107" w:hanging="632"/>
      </w:pPr>
      <w:rPr>
        <w:rFonts w:hint="default"/>
        <w:lang w:val="en-US" w:eastAsia="zh-CN" w:bidi="ar-SA"/>
      </w:rPr>
    </w:lvl>
    <w:lvl w:ilvl="7">
      <w:start w:val="0"/>
      <w:numFmt w:val="bullet"/>
      <w:lvlText w:val="•"/>
      <w:lvlJc w:val="left"/>
      <w:pPr>
        <w:ind w:left="6932" w:hanging="632"/>
      </w:pPr>
      <w:rPr>
        <w:rFonts w:hint="default"/>
        <w:lang w:val="en-US" w:eastAsia="zh-CN" w:bidi="ar-SA"/>
      </w:rPr>
    </w:lvl>
    <w:lvl w:ilvl="8">
      <w:start w:val="0"/>
      <w:numFmt w:val="bullet"/>
      <w:lvlText w:val="•"/>
      <w:lvlJc w:val="left"/>
      <w:pPr>
        <w:ind w:left="7757" w:hanging="632"/>
      </w:pPr>
      <w:rPr>
        <w:rFonts w:hint="default"/>
        <w:lang w:val="en-US" w:eastAsia="zh-CN" w:bidi="ar-SA"/>
      </w:rPr>
    </w:lvl>
  </w:abstractNum>
  <w:abstractNum w:abstractNumId="4">
    <w:multiLevelType w:val="hybridMultilevel"/>
    <w:lvl w:ilvl="0">
      <w:start w:val="2"/>
      <w:numFmt w:val="decimal"/>
      <w:lvlText w:val="%1"/>
      <w:lvlJc w:val="left"/>
      <w:pPr>
        <w:ind w:left="1168" w:hanging="632"/>
        <w:jc w:val="left"/>
      </w:pPr>
      <w:rPr>
        <w:rFonts w:hint="default"/>
        <w:lang w:val="en-US" w:eastAsia="zh-CN" w:bidi="ar-SA"/>
      </w:rPr>
    </w:lvl>
    <w:lvl w:ilvl="1">
      <w:start w:val="1"/>
      <w:numFmt w:val="decimal"/>
      <w:lvlText w:val="%1.%2"/>
      <w:lvlJc w:val="left"/>
      <w:pPr>
        <w:ind w:left="1168" w:hanging="632"/>
        <w:jc w:val="left"/>
      </w:pPr>
      <w:rPr>
        <w:rFonts w:hint="default"/>
        <w:lang w:val="en-US" w:eastAsia="zh-CN" w:bidi="ar-SA"/>
      </w:rPr>
    </w:lvl>
    <w:lvl w:ilvl="2">
      <w:start w:val="1"/>
      <w:numFmt w:val="decimal"/>
      <w:lvlText w:val="%1.%2.%3"/>
      <w:lvlJc w:val="left"/>
      <w:pPr>
        <w:ind w:left="1168" w:hanging="632"/>
        <w:jc w:val="left"/>
      </w:pPr>
      <w:rPr>
        <w:rFonts w:hint="default" w:ascii="Times New Roman" w:hAnsi="Times New Roman" w:eastAsia="Times New Roman" w:cs="Times New Roman"/>
        <w:b/>
        <w:bCs/>
        <w:spacing w:val="-1"/>
        <w:w w:val="100"/>
        <w:sz w:val="28"/>
        <w:szCs w:val="28"/>
        <w:lang w:val="en-US" w:eastAsia="zh-CN" w:bidi="ar-SA"/>
      </w:rPr>
    </w:lvl>
    <w:lvl w:ilvl="3">
      <w:start w:val="0"/>
      <w:numFmt w:val="bullet"/>
      <w:lvlText w:val="•"/>
      <w:lvlJc w:val="left"/>
      <w:pPr>
        <w:ind w:left="3633" w:hanging="632"/>
      </w:pPr>
      <w:rPr>
        <w:rFonts w:hint="default"/>
        <w:lang w:val="en-US" w:eastAsia="zh-CN" w:bidi="ar-SA"/>
      </w:rPr>
    </w:lvl>
    <w:lvl w:ilvl="4">
      <w:start w:val="0"/>
      <w:numFmt w:val="bullet"/>
      <w:lvlText w:val="•"/>
      <w:lvlJc w:val="left"/>
      <w:pPr>
        <w:ind w:left="4458" w:hanging="632"/>
      </w:pPr>
      <w:rPr>
        <w:rFonts w:hint="default"/>
        <w:lang w:val="en-US" w:eastAsia="zh-CN" w:bidi="ar-SA"/>
      </w:rPr>
    </w:lvl>
    <w:lvl w:ilvl="5">
      <w:start w:val="0"/>
      <w:numFmt w:val="bullet"/>
      <w:lvlText w:val="•"/>
      <w:lvlJc w:val="left"/>
      <w:pPr>
        <w:ind w:left="5283" w:hanging="632"/>
      </w:pPr>
      <w:rPr>
        <w:rFonts w:hint="default"/>
        <w:lang w:val="en-US" w:eastAsia="zh-CN" w:bidi="ar-SA"/>
      </w:rPr>
    </w:lvl>
    <w:lvl w:ilvl="6">
      <w:start w:val="0"/>
      <w:numFmt w:val="bullet"/>
      <w:lvlText w:val="•"/>
      <w:lvlJc w:val="left"/>
      <w:pPr>
        <w:ind w:left="6107" w:hanging="632"/>
      </w:pPr>
      <w:rPr>
        <w:rFonts w:hint="default"/>
        <w:lang w:val="en-US" w:eastAsia="zh-CN" w:bidi="ar-SA"/>
      </w:rPr>
    </w:lvl>
    <w:lvl w:ilvl="7">
      <w:start w:val="0"/>
      <w:numFmt w:val="bullet"/>
      <w:lvlText w:val="•"/>
      <w:lvlJc w:val="left"/>
      <w:pPr>
        <w:ind w:left="6932" w:hanging="632"/>
      </w:pPr>
      <w:rPr>
        <w:rFonts w:hint="default"/>
        <w:lang w:val="en-US" w:eastAsia="zh-CN" w:bidi="ar-SA"/>
      </w:rPr>
    </w:lvl>
    <w:lvl w:ilvl="8">
      <w:start w:val="0"/>
      <w:numFmt w:val="bullet"/>
      <w:lvlText w:val="•"/>
      <w:lvlJc w:val="left"/>
      <w:pPr>
        <w:ind w:left="7757" w:hanging="632"/>
      </w:pPr>
      <w:rPr>
        <w:rFonts w:hint="default"/>
        <w:lang w:val="en-US" w:eastAsia="zh-CN" w:bidi="ar-SA"/>
      </w:rPr>
    </w:lvl>
  </w:abstractNum>
  <w:abstractNum w:abstractNumId="3">
    <w:multiLevelType w:val="hybridMultilevel"/>
    <w:lvl w:ilvl="0">
      <w:start w:val="1"/>
      <w:numFmt w:val="decimal"/>
      <w:lvlText w:val="%1"/>
      <w:lvlJc w:val="left"/>
      <w:pPr>
        <w:ind w:left="888" w:hanging="209"/>
        <w:jc w:val="right"/>
      </w:pPr>
      <w:rPr>
        <w:rFonts w:hint="default" w:ascii="Times New Roman" w:hAnsi="Times New Roman" w:eastAsia="Times New Roman" w:cs="Times New Roman"/>
        <w:b/>
        <w:bCs/>
        <w:w w:val="99"/>
        <w:sz w:val="28"/>
        <w:szCs w:val="28"/>
        <w:lang w:val="en-US" w:eastAsia="zh-CN" w:bidi="ar-SA"/>
      </w:rPr>
    </w:lvl>
    <w:lvl w:ilvl="1">
      <w:start w:val="1"/>
      <w:numFmt w:val="decimal"/>
      <w:lvlText w:val="%1.%2"/>
      <w:lvlJc w:val="left"/>
      <w:pPr>
        <w:ind w:left="957" w:hanging="420"/>
        <w:jc w:val="left"/>
      </w:pPr>
      <w:rPr>
        <w:rFonts w:hint="default" w:ascii="Times New Roman" w:hAnsi="Times New Roman" w:eastAsia="Times New Roman" w:cs="Times New Roman"/>
        <w:b/>
        <w:bCs/>
        <w:spacing w:val="-1"/>
        <w:w w:val="100"/>
        <w:sz w:val="28"/>
        <w:szCs w:val="28"/>
        <w:lang w:val="en-US" w:eastAsia="zh-CN" w:bidi="ar-SA"/>
      </w:rPr>
    </w:lvl>
    <w:lvl w:ilvl="2">
      <w:start w:val="1"/>
      <w:numFmt w:val="decimal"/>
      <w:lvlText w:val="%3）"/>
      <w:lvlJc w:val="left"/>
      <w:pPr>
        <w:ind w:left="1517" w:hanging="422"/>
        <w:jc w:val="left"/>
      </w:pPr>
      <w:rPr>
        <w:rFonts w:hint="default" w:ascii="Times New Roman" w:hAnsi="Times New Roman" w:eastAsia="Times New Roman" w:cs="Times New Roman"/>
        <w:spacing w:val="-2"/>
        <w:w w:val="100"/>
        <w:sz w:val="26"/>
        <w:szCs w:val="26"/>
        <w:lang w:val="en-US" w:eastAsia="zh-CN" w:bidi="ar-SA"/>
      </w:rPr>
    </w:lvl>
    <w:lvl w:ilvl="3">
      <w:start w:val="0"/>
      <w:numFmt w:val="bullet"/>
      <w:lvlText w:val="•"/>
      <w:lvlJc w:val="left"/>
      <w:pPr>
        <w:ind w:left="2505" w:hanging="422"/>
      </w:pPr>
      <w:rPr>
        <w:rFonts w:hint="default"/>
        <w:lang w:val="en-US" w:eastAsia="zh-CN" w:bidi="ar-SA"/>
      </w:rPr>
    </w:lvl>
    <w:lvl w:ilvl="4">
      <w:start w:val="0"/>
      <w:numFmt w:val="bullet"/>
      <w:lvlText w:val="•"/>
      <w:lvlJc w:val="left"/>
      <w:pPr>
        <w:ind w:left="3491" w:hanging="422"/>
      </w:pPr>
      <w:rPr>
        <w:rFonts w:hint="default"/>
        <w:lang w:val="en-US" w:eastAsia="zh-CN" w:bidi="ar-SA"/>
      </w:rPr>
    </w:lvl>
    <w:lvl w:ilvl="5">
      <w:start w:val="0"/>
      <w:numFmt w:val="bullet"/>
      <w:lvlText w:val="•"/>
      <w:lvlJc w:val="left"/>
      <w:pPr>
        <w:ind w:left="4477" w:hanging="422"/>
      </w:pPr>
      <w:rPr>
        <w:rFonts w:hint="default"/>
        <w:lang w:val="en-US" w:eastAsia="zh-CN" w:bidi="ar-SA"/>
      </w:rPr>
    </w:lvl>
    <w:lvl w:ilvl="6">
      <w:start w:val="0"/>
      <w:numFmt w:val="bullet"/>
      <w:lvlText w:val="•"/>
      <w:lvlJc w:val="left"/>
      <w:pPr>
        <w:ind w:left="5463" w:hanging="422"/>
      </w:pPr>
      <w:rPr>
        <w:rFonts w:hint="default"/>
        <w:lang w:val="en-US" w:eastAsia="zh-CN" w:bidi="ar-SA"/>
      </w:rPr>
    </w:lvl>
    <w:lvl w:ilvl="7">
      <w:start w:val="0"/>
      <w:numFmt w:val="bullet"/>
      <w:lvlText w:val="•"/>
      <w:lvlJc w:val="left"/>
      <w:pPr>
        <w:ind w:left="6449" w:hanging="422"/>
      </w:pPr>
      <w:rPr>
        <w:rFonts w:hint="default"/>
        <w:lang w:val="en-US" w:eastAsia="zh-CN" w:bidi="ar-SA"/>
      </w:rPr>
    </w:lvl>
    <w:lvl w:ilvl="8">
      <w:start w:val="0"/>
      <w:numFmt w:val="bullet"/>
      <w:lvlText w:val="•"/>
      <w:lvlJc w:val="left"/>
      <w:pPr>
        <w:ind w:left="7434" w:hanging="422"/>
      </w:pPr>
      <w:rPr>
        <w:rFonts w:hint="default"/>
        <w:lang w:val="en-US" w:eastAsia="zh-CN" w:bidi="ar-SA"/>
      </w:rPr>
    </w:lvl>
  </w:abstractNum>
  <w:abstractNum w:abstractNumId="2">
    <w:multiLevelType w:val="hybridMultilevel"/>
    <w:lvl w:ilvl="0">
      <w:start w:val="3"/>
      <w:numFmt w:val="decimal"/>
      <w:lvlText w:val="%1"/>
      <w:lvlJc w:val="left"/>
      <w:pPr>
        <w:ind w:left="1065" w:hanging="421"/>
        <w:jc w:val="left"/>
      </w:pPr>
      <w:rPr>
        <w:rFonts w:hint="default"/>
        <w:lang w:val="en-US" w:eastAsia="zh-CN" w:bidi="ar-SA"/>
      </w:rPr>
    </w:lvl>
    <w:lvl w:ilvl="1">
      <w:start w:val="5"/>
      <w:numFmt w:val="decimal"/>
      <w:lvlText w:val="%1.%2"/>
      <w:lvlJc w:val="left"/>
      <w:pPr>
        <w:ind w:left="1065" w:hanging="421"/>
        <w:jc w:val="left"/>
      </w:pPr>
      <w:rPr>
        <w:rFonts w:hint="default" w:ascii="Times New Roman" w:hAnsi="Times New Roman" w:eastAsia="Times New Roman" w:cs="Times New Roman"/>
        <w:spacing w:val="-1"/>
        <w:w w:val="100"/>
        <w:sz w:val="28"/>
        <w:szCs w:val="28"/>
        <w:lang w:val="en-US" w:eastAsia="zh-CN" w:bidi="ar-SA"/>
      </w:rPr>
    </w:lvl>
    <w:lvl w:ilvl="2">
      <w:start w:val="0"/>
      <w:numFmt w:val="bullet"/>
      <w:lvlText w:val="•"/>
      <w:lvlJc w:val="left"/>
      <w:pPr>
        <w:ind w:left="2729" w:hanging="421"/>
      </w:pPr>
      <w:rPr>
        <w:rFonts w:hint="default"/>
        <w:lang w:val="en-US" w:eastAsia="zh-CN" w:bidi="ar-SA"/>
      </w:rPr>
    </w:lvl>
    <w:lvl w:ilvl="3">
      <w:start w:val="0"/>
      <w:numFmt w:val="bullet"/>
      <w:lvlText w:val="•"/>
      <w:lvlJc w:val="left"/>
      <w:pPr>
        <w:ind w:left="3563" w:hanging="421"/>
      </w:pPr>
      <w:rPr>
        <w:rFonts w:hint="default"/>
        <w:lang w:val="en-US" w:eastAsia="zh-CN" w:bidi="ar-SA"/>
      </w:rPr>
    </w:lvl>
    <w:lvl w:ilvl="4">
      <w:start w:val="0"/>
      <w:numFmt w:val="bullet"/>
      <w:lvlText w:val="•"/>
      <w:lvlJc w:val="left"/>
      <w:pPr>
        <w:ind w:left="4398" w:hanging="421"/>
      </w:pPr>
      <w:rPr>
        <w:rFonts w:hint="default"/>
        <w:lang w:val="en-US" w:eastAsia="zh-CN" w:bidi="ar-SA"/>
      </w:rPr>
    </w:lvl>
    <w:lvl w:ilvl="5">
      <w:start w:val="0"/>
      <w:numFmt w:val="bullet"/>
      <w:lvlText w:val="•"/>
      <w:lvlJc w:val="left"/>
      <w:pPr>
        <w:ind w:left="5233" w:hanging="421"/>
      </w:pPr>
      <w:rPr>
        <w:rFonts w:hint="default"/>
        <w:lang w:val="en-US" w:eastAsia="zh-CN" w:bidi="ar-SA"/>
      </w:rPr>
    </w:lvl>
    <w:lvl w:ilvl="6">
      <w:start w:val="0"/>
      <w:numFmt w:val="bullet"/>
      <w:lvlText w:val="•"/>
      <w:lvlJc w:val="left"/>
      <w:pPr>
        <w:ind w:left="6067" w:hanging="421"/>
      </w:pPr>
      <w:rPr>
        <w:rFonts w:hint="default"/>
        <w:lang w:val="en-US" w:eastAsia="zh-CN" w:bidi="ar-SA"/>
      </w:rPr>
    </w:lvl>
    <w:lvl w:ilvl="7">
      <w:start w:val="0"/>
      <w:numFmt w:val="bullet"/>
      <w:lvlText w:val="•"/>
      <w:lvlJc w:val="left"/>
      <w:pPr>
        <w:ind w:left="6902" w:hanging="421"/>
      </w:pPr>
      <w:rPr>
        <w:rFonts w:hint="default"/>
        <w:lang w:val="en-US" w:eastAsia="zh-CN" w:bidi="ar-SA"/>
      </w:rPr>
    </w:lvl>
    <w:lvl w:ilvl="8">
      <w:start w:val="0"/>
      <w:numFmt w:val="bullet"/>
      <w:lvlText w:val="•"/>
      <w:lvlJc w:val="left"/>
      <w:pPr>
        <w:ind w:left="7737" w:hanging="421"/>
      </w:pPr>
      <w:rPr>
        <w:rFonts w:hint="default"/>
        <w:lang w:val="en-US" w:eastAsia="zh-CN" w:bidi="ar-SA"/>
      </w:rPr>
    </w:lvl>
  </w:abstractNum>
  <w:abstractNum w:abstractNumId="1">
    <w:multiLevelType w:val="hybridMultilevel"/>
    <w:lvl w:ilvl="0">
      <w:start w:val="3"/>
      <w:numFmt w:val="decimal"/>
      <w:lvlText w:val="%1"/>
      <w:lvlJc w:val="left"/>
      <w:pPr>
        <w:ind w:left="1276" w:hanging="632"/>
        <w:jc w:val="left"/>
      </w:pPr>
      <w:rPr>
        <w:rFonts w:hint="default"/>
        <w:lang w:val="en-US" w:eastAsia="zh-CN" w:bidi="ar-SA"/>
      </w:rPr>
    </w:lvl>
    <w:lvl w:ilvl="1">
      <w:start w:val="4"/>
      <w:numFmt w:val="decimal"/>
      <w:lvlText w:val="%1.%2"/>
      <w:lvlJc w:val="left"/>
      <w:pPr>
        <w:ind w:left="1276" w:hanging="632"/>
        <w:jc w:val="left"/>
      </w:pPr>
      <w:rPr>
        <w:rFonts w:hint="default"/>
        <w:lang w:val="en-US" w:eastAsia="zh-CN" w:bidi="ar-SA"/>
      </w:rPr>
    </w:lvl>
    <w:lvl w:ilvl="2">
      <w:start w:val="4"/>
      <w:numFmt w:val="decimal"/>
      <w:lvlText w:val="%1.%2.%3"/>
      <w:lvlJc w:val="left"/>
      <w:pPr>
        <w:ind w:left="1276" w:hanging="632"/>
        <w:jc w:val="left"/>
      </w:pPr>
      <w:rPr>
        <w:rFonts w:hint="default" w:ascii="Times New Roman" w:hAnsi="Times New Roman" w:eastAsia="Times New Roman" w:cs="Times New Roman"/>
        <w:spacing w:val="-1"/>
        <w:w w:val="100"/>
        <w:sz w:val="28"/>
        <w:szCs w:val="28"/>
        <w:lang w:val="en-US" w:eastAsia="zh-CN" w:bidi="ar-SA"/>
      </w:rPr>
    </w:lvl>
    <w:lvl w:ilvl="3">
      <w:start w:val="1"/>
      <w:numFmt w:val="decimal"/>
      <w:lvlText w:val="%1.%2.%3.%4"/>
      <w:lvlJc w:val="left"/>
      <w:pPr>
        <w:ind w:left="1485" w:hanging="840"/>
        <w:jc w:val="left"/>
      </w:pPr>
      <w:rPr>
        <w:rFonts w:hint="default" w:ascii="Times New Roman" w:hAnsi="Times New Roman" w:eastAsia="Times New Roman" w:cs="Times New Roman"/>
        <w:spacing w:val="-3"/>
        <w:w w:val="100"/>
        <w:sz w:val="28"/>
        <w:szCs w:val="28"/>
        <w:lang w:val="en-US" w:eastAsia="zh-CN" w:bidi="ar-SA"/>
      </w:rPr>
    </w:lvl>
    <w:lvl w:ilvl="4">
      <w:start w:val="0"/>
      <w:numFmt w:val="bullet"/>
      <w:lvlText w:val="•"/>
      <w:lvlJc w:val="left"/>
      <w:pPr>
        <w:ind w:left="4122" w:hanging="840"/>
      </w:pPr>
      <w:rPr>
        <w:rFonts w:hint="default"/>
        <w:lang w:val="en-US" w:eastAsia="zh-CN" w:bidi="ar-SA"/>
      </w:rPr>
    </w:lvl>
    <w:lvl w:ilvl="5">
      <w:start w:val="0"/>
      <w:numFmt w:val="bullet"/>
      <w:lvlText w:val="•"/>
      <w:lvlJc w:val="left"/>
      <w:pPr>
        <w:ind w:left="5002" w:hanging="840"/>
      </w:pPr>
      <w:rPr>
        <w:rFonts w:hint="default"/>
        <w:lang w:val="en-US" w:eastAsia="zh-CN" w:bidi="ar-SA"/>
      </w:rPr>
    </w:lvl>
    <w:lvl w:ilvl="6">
      <w:start w:val="0"/>
      <w:numFmt w:val="bullet"/>
      <w:lvlText w:val="•"/>
      <w:lvlJc w:val="left"/>
      <w:pPr>
        <w:ind w:left="5883" w:hanging="840"/>
      </w:pPr>
      <w:rPr>
        <w:rFonts w:hint="default"/>
        <w:lang w:val="en-US" w:eastAsia="zh-CN" w:bidi="ar-SA"/>
      </w:rPr>
    </w:lvl>
    <w:lvl w:ilvl="7">
      <w:start w:val="0"/>
      <w:numFmt w:val="bullet"/>
      <w:lvlText w:val="•"/>
      <w:lvlJc w:val="left"/>
      <w:pPr>
        <w:ind w:left="6764" w:hanging="840"/>
      </w:pPr>
      <w:rPr>
        <w:rFonts w:hint="default"/>
        <w:lang w:val="en-US" w:eastAsia="zh-CN" w:bidi="ar-SA"/>
      </w:rPr>
    </w:lvl>
    <w:lvl w:ilvl="8">
      <w:start w:val="0"/>
      <w:numFmt w:val="bullet"/>
      <w:lvlText w:val="•"/>
      <w:lvlJc w:val="left"/>
      <w:pPr>
        <w:ind w:left="7644" w:hanging="840"/>
      </w:pPr>
      <w:rPr>
        <w:rFonts w:hint="default"/>
        <w:lang w:val="en-US" w:eastAsia="zh-CN" w:bidi="ar-SA"/>
      </w:rPr>
    </w:lvl>
  </w:abstractNum>
  <w:abstractNum w:abstractNumId="0">
    <w:multiLevelType w:val="hybridMultilevel"/>
    <w:lvl w:ilvl="0">
      <w:start w:val="1"/>
      <w:numFmt w:val="decimal"/>
      <w:lvlText w:val="%1"/>
      <w:lvlJc w:val="left"/>
      <w:pPr>
        <w:ind w:left="854" w:hanging="209"/>
        <w:jc w:val="left"/>
      </w:pPr>
      <w:rPr>
        <w:rFonts w:hint="default" w:ascii="Times New Roman" w:hAnsi="Times New Roman" w:eastAsia="Times New Roman" w:cs="Times New Roman"/>
        <w:w w:val="99"/>
        <w:sz w:val="28"/>
        <w:szCs w:val="28"/>
        <w:lang w:val="en-US" w:eastAsia="zh-CN" w:bidi="ar-SA"/>
      </w:rPr>
    </w:lvl>
    <w:lvl w:ilvl="1">
      <w:start w:val="1"/>
      <w:numFmt w:val="decimal"/>
      <w:lvlText w:val="%1.%2"/>
      <w:lvlJc w:val="left"/>
      <w:pPr>
        <w:ind w:left="1065" w:hanging="421"/>
        <w:jc w:val="left"/>
      </w:pPr>
      <w:rPr>
        <w:rFonts w:hint="default" w:ascii="Times New Roman" w:hAnsi="Times New Roman" w:eastAsia="Times New Roman" w:cs="Times New Roman"/>
        <w:spacing w:val="-1"/>
        <w:w w:val="100"/>
        <w:sz w:val="28"/>
        <w:szCs w:val="28"/>
        <w:lang w:val="en-US" w:eastAsia="zh-CN" w:bidi="ar-SA"/>
      </w:rPr>
    </w:lvl>
    <w:lvl w:ilvl="2">
      <w:start w:val="1"/>
      <w:numFmt w:val="decimal"/>
      <w:lvlText w:val="%1.%2.%3"/>
      <w:lvlJc w:val="left"/>
      <w:pPr>
        <w:ind w:left="1277" w:hanging="632"/>
        <w:jc w:val="left"/>
      </w:pPr>
      <w:rPr>
        <w:rFonts w:hint="default" w:ascii="Times New Roman" w:hAnsi="Times New Roman" w:eastAsia="Times New Roman" w:cs="Times New Roman"/>
        <w:spacing w:val="-1"/>
        <w:w w:val="100"/>
        <w:sz w:val="28"/>
        <w:szCs w:val="28"/>
        <w:lang w:val="en-US" w:eastAsia="zh-CN" w:bidi="ar-SA"/>
      </w:rPr>
    </w:lvl>
    <w:lvl w:ilvl="3">
      <w:start w:val="1"/>
      <w:numFmt w:val="decimal"/>
      <w:lvlText w:val="%1.%2.%3.%4"/>
      <w:lvlJc w:val="left"/>
      <w:pPr>
        <w:ind w:left="1487" w:hanging="840"/>
        <w:jc w:val="left"/>
      </w:pPr>
      <w:rPr>
        <w:rFonts w:hint="default" w:ascii="Times New Roman" w:hAnsi="Times New Roman" w:eastAsia="Times New Roman" w:cs="Times New Roman"/>
        <w:spacing w:val="-3"/>
        <w:w w:val="100"/>
        <w:sz w:val="28"/>
        <w:szCs w:val="28"/>
        <w:lang w:val="en-US" w:eastAsia="zh-CN" w:bidi="ar-SA"/>
      </w:rPr>
    </w:lvl>
    <w:lvl w:ilvl="4">
      <w:start w:val="0"/>
      <w:numFmt w:val="bullet"/>
      <w:lvlText w:val="•"/>
      <w:lvlJc w:val="left"/>
      <w:pPr>
        <w:ind w:left="2612" w:hanging="840"/>
      </w:pPr>
      <w:rPr>
        <w:rFonts w:hint="default"/>
        <w:lang w:val="en-US" w:eastAsia="zh-CN" w:bidi="ar-SA"/>
      </w:rPr>
    </w:lvl>
    <w:lvl w:ilvl="5">
      <w:start w:val="0"/>
      <w:numFmt w:val="bullet"/>
      <w:lvlText w:val="•"/>
      <w:lvlJc w:val="left"/>
      <w:pPr>
        <w:ind w:left="3744" w:hanging="840"/>
      </w:pPr>
      <w:rPr>
        <w:rFonts w:hint="default"/>
        <w:lang w:val="en-US" w:eastAsia="zh-CN" w:bidi="ar-SA"/>
      </w:rPr>
    </w:lvl>
    <w:lvl w:ilvl="6">
      <w:start w:val="0"/>
      <w:numFmt w:val="bullet"/>
      <w:lvlText w:val="•"/>
      <w:lvlJc w:val="left"/>
      <w:pPr>
        <w:ind w:left="4877" w:hanging="840"/>
      </w:pPr>
      <w:rPr>
        <w:rFonts w:hint="default"/>
        <w:lang w:val="en-US" w:eastAsia="zh-CN" w:bidi="ar-SA"/>
      </w:rPr>
    </w:lvl>
    <w:lvl w:ilvl="7">
      <w:start w:val="0"/>
      <w:numFmt w:val="bullet"/>
      <w:lvlText w:val="•"/>
      <w:lvlJc w:val="left"/>
      <w:pPr>
        <w:ind w:left="6009" w:hanging="840"/>
      </w:pPr>
      <w:rPr>
        <w:rFonts w:hint="default"/>
        <w:lang w:val="en-US" w:eastAsia="zh-CN" w:bidi="ar-SA"/>
      </w:rPr>
    </w:lvl>
    <w:lvl w:ilvl="8">
      <w:start w:val="0"/>
      <w:numFmt w:val="bullet"/>
      <w:lvlText w:val="•"/>
      <w:lvlJc w:val="left"/>
      <w:pPr>
        <w:ind w:left="7141" w:hanging="840"/>
      </w:pPr>
      <w:rPr>
        <w:rFonts w:hint="default"/>
        <w:lang w:val="en-US" w:eastAsia="zh-CN"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TOC1" w:type="paragraph">
    <w:name w:val="TOC 1"/>
    <w:basedOn w:val="Normal"/>
    <w:uiPriority w:val="1"/>
    <w:qFormat/>
    <w:pPr>
      <w:spacing w:before="186"/>
      <w:ind w:left="1065" w:hanging="421"/>
    </w:pPr>
    <w:rPr>
      <w:rFonts w:ascii="宋体" w:hAnsi="宋体" w:eastAsia="宋体" w:cs="宋体"/>
      <w:sz w:val="28"/>
      <w:szCs w:val="28"/>
      <w:lang w:val="en-US" w:eastAsia="zh-CN" w:bidi="ar-SA"/>
    </w:rPr>
  </w:style>
  <w:style w:styleId="BodyText" w:type="paragraph">
    <w:name w:val="Body Text"/>
    <w:basedOn w:val="Normal"/>
    <w:uiPriority w:val="1"/>
    <w:qFormat/>
    <w:pPr/>
    <w:rPr>
      <w:rFonts w:ascii="宋体" w:hAnsi="宋体" w:eastAsia="宋体" w:cs="宋体"/>
      <w:sz w:val="28"/>
      <w:szCs w:val="28"/>
      <w:lang w:val="en-US" w:eastAsia="zh-CN" w:bidi="ar-SA"/>
    </w:rPr>
  </w:style>
  <w:style w:styleId="Heading1" w:type="paragraph">
    <w:name w:val="Heading 1"/>
    <w:basedOn w:val="Normal"/>
    <w:uiPriority w:val="1"/>
    <w:qFormat/>
    <w:pPr>
      <w:ind w:left="957" w:hanging="421"/>
      <w:outlineLvl w:val="1"/>
    </w:pPr>
    <w:rPr>
      <w:rFonts w:ascii="Microsoft JhengHei" w:hAnsi="Microsoft JhengHei" w:eastAsia="Microsoft JhengHei" w:cs="Microsoft JhengHei"/>
      <w:b/>
      <w:bCs/>
      <w:sz w:val="28"/>
      <w:szCs w:val="28"/>
      <w:lang w:val="en-US" w:eastAsia="zh-CN" w:bidi="ar-SA"/>
    </w:rPr>
  </w:style>
  <w:style w:styleId="Title" w:type="paragraph">
    <w:name w:val="Title"/>
    <w:basedOn w:val="Normal"/>
    <w:uiPriority w:val="1"/>
    <w:qFormat/>
    <w:pPr>
      <w:ind w:right="20"/>
      <w:jc w:val="center"/>
    </w:pPr>
    <w:rPr>
      <w:rFonts w:ascii="Microsoft JhengHei" w:hAnsi="Microsoft JhengHei" w:eastAsia="Microsoft JhengHei" w:cs="Microsoft JhengHei"/>
      <w:b/>
      <w:bCs/>
      <w:sz w:val="44"/>
      <w:szCs w:val="44"/>
      <w:lang w:val="en-US" w:eastAsia="zh-CN" w:bidi="ar-SA"/>
    </w:rPr>
  </w:style>
  <w:style w:styleId="ListParagraph" w:type="paragraph">
    <w:name w:val="List Paragraph"/>
    <w:basedOn w:val="Normal"/>
    <w:uiPriority w:val="1"/>
    <w:qFormat/>
    <w:pPr>
      <w:spacing w:before="186"/>
      <w:ind w:left="1065" w:hanging="421"/>
    </w:pPr>
    <w:rPr>
      <w:rFonts w:ascii="宋体" w:hAnsi="宋体" w:eastAsia="宋体" w:cs="宋体"/>
      <w:lang w:val="en-US" w:eastAsia="zh-CN" w:bidi="ar-SA"/>
    </w:rPr>
  </w:style>
  <w:style w:styleId="TableParagraph" w:type="paragraph">
    <w:name w:val="Table Paragraph"/>
    <w:basedOn w:val="Normal"/>
    <w:uiPriority w:val="1"/>
    <w:qFormat/>
    <w:pPr/>
    <w:rPr>
      <w:rFonts w:ascii="楷体" w:hAnsi="楷体" w:eastAsia="楷体" w:cs="楷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2022-10-22T03:59:13Z</dcterms:created>
  <dcterms:modified xsi:type="dcterms:W3CDTF">2022-10-22T03:59:13Z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ies>
</file>